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4764F6" w:rsidR="00FF54D5" w:rsidP="00D826D3" w:rsidRDefault="00FF54D5" w14:paraId="31897727" w14:textId="77777777">
      <w:pPr>
        <w:spacing w:after="0"/>
        <w:ind w:left="519"/>
        <w:jc w:val="both"/>
        <w:rPr>
          <w:rFonts w:cstheme="minorHAnsi"/>
        </w:rPr>
      </w:pPr>
    </w:p>
    <w:p w:rsidRPr="004764F6" w:rsidR="00FF54D5" w:rsidP="00D826D3" w:rsidRDefault="00FF54D5" w14:paraId="01ACE30C" w14:textId="77777777">
      <w:pPr>
        <w:spacing w:after="0"/>
        <w:ind w:left="519"/>
        <w:jc w:val="both"/>
      </w:pPr>
      <w:r w:rsidR="00FF54D5">
        <w:drawing>
          <wp:inline wp14:editId="0EE96369" wp14:anchorId="13041170">
            <wp:extent cx="1761836" cy="1042158"/>
            <wp:effectExtent l="0" t="0" r="0" b="0"/>
            <wp:docPr id="704035536" name="Picture 704035536" title=""/>
            <wp:cNvGraphicFramePr>
              <a:graphicFrameLocks noChangeAspect="1"/>
            </wp:cNvGraphicFramePr>
            <a:graphic>
              <a:graphicData uri="http://schemas.openxmlformats.org/drawingml/2006/picture">
                <pic:pic>
                  <pic:nvPicPr>
                    <pic:cNvPr id="0" name="Picture 704035536"/>
                    <pic:cNvPicPr/>
                  </pic:nvPicPr>
                  <pic:blipFill>
                    <a:blip r:embed="R7157a77fa7d54cf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761836" cy="1042158"/>
                    </a:xfrm>
                    <a:prstGeom prst="rect">
                      <a:avLst/>
                    </a:prstGeom>
                  </pic:spPr>
                </pic:pic>
              </a:graphicData>
            </a:graphic>
          </wp:inline>
        </w:drawing>
      </w:r>
    </w:p>
    <w:p w:rsidRPr="004764F6" w:rsidR="00FF54D5" w:rsidP="00D826D3" w:rsidRDefault="00FF54D5" w14:paraId="608EF419" w14:textId="77777777">
      <w:pPr>
        <w:spacing w:after="0"/>
        <w:ind w:left="519"/>
        <w:jc w:val="both"/>
        <w:rPr>
          <w:rFonts w:cstheme="minorHAnsi"/>
        </w:rPr>
      </w:pPr>
    </w:p>
    <w:p w:rsidRPr="004764F6" w:rsidR="00FF54D5" w:rsidP="00D826D3" w:rsidRDefault="00FF54D5" w14:paraId="67375622" w14:textId="77777777">
      <w:pPr>
        <w:spacing w:after="0"/>
        <w:ind w:left="519"/>
        <w:jc w:val="both"/>
        <w:rPr>
          <w:rFonts w:cstheme="minorHAnsi"/>
        </w:rPr>
      </w:pPr>
    </w:p>
    <w:p w:rsidRPr="004764F6" w:rsidR="00FF54D5" w:rsidP="00D826D3" w:rsidRDefault="00FF54D5" w14:paraId="50F056DA" w14:textId="77777777">
      <w:pPr>
        <w:spacing w:after="0"/>
        <w:ind w:left="519"/>
        <w:jc w:val="both"/>
        <w:rPr>
          <w:rFonts w:cstheme="minorHAnsi"/>
        </w:rPr>
      </w:pPr>
    </w:p>
    <w:p w:rsidRPr="004764F6" w:rsidR="00FF54D5" w:rsidP="00D826D3" w:rsidRDefault="00FF54D5" w14:paraId="2F40D6BE" w14:textId="77777777">
      <w:pPr>
        <w:spacing w:after="0"/>
        <w:ind w:left="519"/>
        <w:jc w:val="both"/>
        <w:rPr>
          <w:rFonts w:cstheme="minorHAnsi"/>
        </w:rPr>
      </w:pPr>
    </w:p>
    <w:p w:rsidRPr="00FF54D5" w:rsidR="00FF54D5" w:rsidP="00D826D3" w:rsidRDefault="00FF54D5" w14:paraId="657AFFED" w14:textId="2671302E">
      <w:pPr>
        <w:spacing w:after="0"/>
        <w:jc w:val="both"/>
        <w:rPr>
          <w:rFonts w:cstheme="minorHAnsi"/>
          <w:b/>
          <w:bCs/>
        </w:rPr>
      </w:pPr>
      <w:r w:rsidRPr="00FF54D5">
        <w:rPr>
          <w:rFonts w:cstheme="minorHAnsi"/>
          <w:b/>
          <w:bCs/>
        </w:rPr>
        <w:t>Administration and Registration Policy</w:t>
      </w:r>
    </w:p>
    <w:p w:rsidRPr="004764F6" w:rsidR="00FF54D5" w:rsidP="00D826D3" w:rsidRDefault="00FF54D5" w14:paraId="3AB91D2F" w14:textId="2055BFE7">
      <w:pPr>
        <w:spacing w:after="0"/>
        <w:jc w:val="both"/>
        <w:rPr>
          <w:rFonts w:cstheme="minorHAnsi"/>
        </w:rPr>
      </w:pPr>
    </w:p>
    <w:p w:rsidRPr="004764F6" w:rsidR="00FF54D5" w:rsidP="00D826D3" w:rsidRDefault="00FF54D5" w14:paraId="6AA1781A" w14:textId="77777777">
      <w:pPr>
        <w:jc w:val="both"/>
        <w:rPr>
          <w:rFonts w:cstheme="minorHAnsi"/>
        </w:rPr>
      </w:pPr>
    </w:p>
    <w:p w:rsidRPr="004764F6" w:rsidR="00FF54D5" w:rsidP="00D826D3" w:rsidRDefault="00FF54D5" w14:paraId="4F896A17" w14:textId="77777777">
      <w:pPr>
        <w:spacing w:after="0" w:line="240" w:lineRule="auto"/>
        <w:jc w:val="both"/>
        <w:rPr>
          <w:rFonts w:cstheme="minorHAnsi"/>
          <w:b/>
          <w:bCs/>
        </w:rPr>
      </w:pPr>
      <w:r w:rsidRPr="004764F6">
        <w:rPr>
          <w:rFonts w:cstheme="minorHAnsi"/>
          <w:b/>
          <w:bCs/>
        </w:rPr>
        <w:t>City College Limited</w:t>
      </w:r>
    </w:p>
    <w:p w:rsidRPr="004764F6" w:rsidR="00FF54D5" w:rsidP="00D826D3" w:rsidRDefault="00FF54D5" w14:paraId="65B7DCBB" w14:textId="77777777">
      <w:pPr>
        <w:spacing w:after="0" w:line="240" w:lineRule="auto"/>
        <w:jc w:val="both"/>
        <w:rPr>
          <w:rFonts w:cstheme="minorHAnsi"/>
        </w:rPr>
      </w:pPr>
    </w:p>
    <w:p w:rsidRPr="004764F6" w:rsidR="00FF54D5" w:rsidP="00D826D3" w:rsidRDefault="00FF54D5" w14:paraId="599BCCBF" w14:textId="77777777">
      <w:pPr>
        <w:spacing w:after="0" w:line="240" w:lineRule="auto"/>
        <w:jc w:val="both"/>
        <w:rPr>
          <w:rFonts w:cstheme="minorHAnsi"/>
        </w:rPr>
      </w:pPr>
      <w:r w:rsidRPr="004764F6">
        <w:rPr>
          <w:rFonts w:cstheme="minorHAnsi"/>
        </w:rPr>
        <w:t>69 Steward Street</w:t>
      </w:r>
    </w:p>
    <w:p w:rsidRPr="004764F6" w:rsidR="00FF54D5" w:rsidP="00D826D3" w:rsidRDefault="00FF54D5" w14:paraId="490A9AEC" w14:textId="77777777">
      <w:pPr>
        <w:spacing w:after="0" w:line="240" w:lineRule="auto"/>
        <w:jc w:val="both"/>
        <w:rPr>
          <w:rFonts w:cstheme="minorHAnsi"/>
        </w:rPr>
      </w:pPr>
      <w:r w:rsidRPr="004764F6">
        <w:rPr>
          <w:rFonts w:cstheme="minorHAnsi"/>
        </w:rPr>
        <w:t>Birmingham</w:t>
      </w:r>
    </w:p>
    <w:p w:rsidRPr="004764F6" w:rsidR="00FF54D5" w:rsidP="00D826D3" w:rsidRDefault="00FF54D5" w14:paraId="36E619EA" w14:textId="77777777">
      <w:pPr>
        <w:spacing w:after="0" w:line="240" w:lineRule="auto"/>
        <w:jc w:val="both"/>
        <w:rPr>
          <w:rFonts w:cstheme="minorHAnsi"/>
        </w:rPr>
      </w:pPr>
      <w:r w:rsidRPr="004764F6">
        <w:rPr>
          <w:rFonts w:cstheme="minorHAnsi"/>
        </w:rPr>
        <w:t>B18 7AF</w:t>
      </w:r>
    </w:p>
    <w:p w:rsidRPr="004764F6" w:rsidR="00FF54D5" w:rsidP="00D826D3" w:rsidRDefault="00FF54D5" w14:paraId="347CF91B" w14:textId="77777777">
      <w:pPr>
        <w:spacing w:after="0" w:line="240" w:lineRule="auto"/>
        <w:jc w:val="both"/>
        <w:rPr>
          <w:rFonts w:cstheme="minorHAnsi"/>
        </w:rPr>
      </w:pPr>
    </w:p>
    <w:p w:rsidRPr="004764F6" w:rsidR="00FF54D5" w:rsidP="00D826D3" w:rsidRDefault="00FF54D5" w14:paraId="396D4525" w14:textId="77777777">
      <w:pPr>
        <w:spacing w:after="0" w:line="240" w:lineRule="auto"/>
        <w:jc w:val="both"/>
        <w:rPr>
          <w:rFonts w:cstheme="minorHAnsi"/>
        </w:rPr>
      </w:pPr>
    </w:p>
    <w:p w:rsidRPr="004764F6" w:rsidR="00FF54D5" w:rsidP="00D826D3" w:rsidRDefault="00FF54D5" w14:paraId="30026918" w14:textId="77777777">
      <w:pPr>
        <w:spacing w:after="0" w:line="240" w:lineRule="auto"/>
        <w:jc w:val="both"/>
        <w:rPr>
          <w:rFonts w:cstheme="minorHAnsi"/>
        </w:rPr>
      </w:pPr>
    </w:p>
    <w:tbl>
      <w:tblPr>
        <w:tblW w:w="8994" w:type="dxa"/>
        <w:jc w:val="center"/>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248"/>
        <w:gridCol w:w="2249"/>
        <w:gridCol w:w="2249"/>
        <w:gridCol w:w="2248"/>
      </w:tblGrid>
      <w:tr w:rsidRPr="004764F6" w:rsidR="00FF54D5" w:rsidTr="000E2065" w14:paraId="05225622" w14:textId="77777777">
        <w:trPr>
          <w:jc w:val="center"/>
        </w:trPr>
        <w:tc>
          <w:tcPr>
            <w:tcW w:w="2248" w:type="dxa"/>
            <w:tcBorders>
              <w:top w:val="single" w:color="auto" w:sz="6" w:space="0"/>
              <w:left w:val="single" w:color="auto" w:sz="6" w:space="0"/>
              <w:bottom w:val="single" w:color="auto" w:sz="6" w:space="0"/>
              <w:right w:val="single" w:color="auto" w:sz="6" w:space="0"/>
            </w:tcBorders>
            <w:shd w:val="clear" w:color="auto" w:fill="auto"/>
            <w:hideMark/>
          </w:tcPr>
          <w:p w:rsidRPr="004764F6" w:rsidR="00FF54D5" w:rsidP="00D826D3" w:rsidRDefault="00FF54D5" w14:paraId="67869096" w14:textId="77777777">
            <w:pPr>
              <w:jc w:val="both"/>
              <w:textAlignment w:val="baseline"/>
              <w:rPr>
                <w:rFonts w:eastAsia="Times New Roman" w:cstheme="minorHAnsi"/>
              </w:rPr>
            </w:pPr>
            <w:r w:rsidRPr="004764F6">
              <w:rPr>
                <w:rFonts w:eastAsia="Times New Roman" w:cstheme="minorHAnsi"/>
              </w:rPr>
              <w:t>Title </w:t>
            </w:r>
          </w:p>
        </w:tc>
        <w:tc>
          <w:tcPr>
            <w:tcW w:w="2249" w:type="dxa"/>
            <w:tcBorders>
              <w:top w:val="single" w:color="auto" w:sz="6" w:space="0"/>
              <w:left w:val="nil"/>
              <w:bottom w:val="single" w:color="auto" w:sz="6" w:space="0"/>
              <w:right w:val="single" w:color="auto" w:sz="6" w:space="0"/>
            </w:tcBorders>
            <w:shd w:val="clear" w:color="auto" w:fill="auto"/>
            <w:hideMark/>
          </w:tcPr>
          <w:p w:rsidRPr="004764F6" w:rsidR="00FF54D5" w:rsidP="00D826D3" w:rsidRDefault="00FF54D5" w14:paraId="3065C6A6" w14:textId="347F368E">
            <w:pPr>
              <w:ind w:left="521"/>
              <w:jc w:val="both"/>
              <w:textAlignment w:val="baseline"/>
              <w:rPr>
                <w:rFonts w:eastAsia="Times New Roman" w:cstheme="minorHAnsi"/>
              </w:rPr>
            </w:pPr>
            <w:r>
              <w:rPr>
                <w:rFonts w:cstheme="minorHAnsi"/>
              </w:rPr>
              <w:t xml:space="preserve">Administration and Registration </w:t>
            </w:r>
            <w:r w:rsidRPr="004764F6">
              <w:rPr>
                <w:rFonts w:cstheme="minorHAnsi"/>
              </w:rPr>
              <w:t>Policy</w:t>
            </w:r>
          </w:p>
        </w:tc>
        <w:tc>
          <w:tcPr>
            <w:tcW w:w="2249" w:type="dxa"/>
            <w:tcBorders>
              <w:top w:val="single" w:color="auto" w:sz="6" w:space="0"/>
              <w:left w:val="nil"/>
              <w:bottom w:val="single" w:color="auto" w:sz="6" w:space="0"/>
              <w:right w:val="single" w:color="auto" w:sz="6" w:space="0"/>
            </w:tcBorders>
            <w:shd w:val="clear" w:color="auto" w:fill="auto"/>
            <w:hideMark/>
          </w:tcPr>
          <w:p w:rsidRPr="004764F6" w:rsidR="00FF54D5" w:rsidP="00D826D3" w:rsidRDefault="00FF54D5" w14:paraId="4B82A752" w14:textId="77777777">
            <w:pPr>
              <w:jc w:val="both"/>
              <w:textAlignment w:val="baseline"/>
              <w:rPr>
                <w:rFonts w:eastAsia="Times New Roman" w:cstheme="minorHAnsi"/>
              </w:rPr>
            </w:pPr>
            <w:r w:rsidRPr="004764F6">
              <w:rPr>
                <w:rFonts w:eastAsia="Times New Roman" w:cstheme="minorHAnsi"/>
              </w:rPr>
              <w:t>Department </w:t>
            </w:r>
          </w:p>
        </w:tc>
        <w:tc>
          <w:tcPr>
            <w:tcW w:w="2248" w:type="dxa"/>
            <w:tcBorders>
              <w:top w:val="single" w:color="auto" w:sz="6" w:space="0"/>
              <w:left w:val="nil"/>
              <w:bottom w:val="single" w:color="auto" w:sz="6" w:space="0"/>
              <w:right w:val="single" w:color="auto" w:sz="6" w:space="0"/>
            </w:tcBorders>
            <w:shd w:val="clear" w:color="auto" w:fill="auto"/>
            <w:hideMark/>
          </w:tcPr>
          <w:p w:rsidRPr="004764F6" w:rsidR="00FF54D5" w:rsidP="00D826D3" w:rsidRDefault="00FF54D5" w14:paraId="6E59C689" w14:textId="3DEBA760">
            <w:pPr>
              <w:jc w:val="both"/>
              <w:textAlignment w:val="baseline"/>
              <w:rPr>
                <w:rFonts w:eastAsia="Times New Roman" w:cstheme="minorHAnsi"/>
              </w:rPr>
            </w:pPr>
            <w:r>
              <w:rPr>
                <w:rFonts w:eastAsia="Times New Roman" w:cstheme="minorHAnsi"/>
              </w:rPr>
              <w:t>Operations</w:t>
            </w:r>
          </w:p>
        </w:tc>
      </w:tr>
      <w:tr w:rsidRPr="004764F6" w:rsidR="00FF54D5" w:rsidTr="000E2065" w14:paraId="30A0A407" w14:textId="77777777">
        <w:trPr>
          <w:jc w:val="center"/>
        </w:trPr>
        <w:tc>
          <w:tcPr>
            <w:tcW w:w="2248" w:type="dxa"/>
            <w:tcBorders>
              <w:top w:val="nil"/>
              <w:left w:val="single" w:color="auto" w:sz="6" w:space="0"/>
              <w:bottom w:val="single" w:color="auto" w:sz="6" w:space="0"/>
              <w:right w:val="single" w:color="auto" w:sz="6" w:space="0"/>
            </w:tcBorders>
            <w:shd w:val="clear" w:color="auto" w:fill="auto"/>
            <w:hideMark/>
          </w:tcPr>
          <w:p w:rsidRPr="004764F6" w:rsidR="00FF54D5" w:rsidP="00D826D3" w:rsidRDefault="00FF54D5" w14:paraId="114EFA3F" w14:textId="77777777">
            <w:pPr>
              <w:jc w:val="both"/>
              <w:textAlignment w:val="baseline"/>
              <w:rPr>
                <w:rFonts w:eastAsia="Times New Roman" w:cstheme="minorHAnsi"/>
              </w:rPr>
            </w:pPr>
            <w:r w:rsidRPr="004764F6">
              <w:rPr>
                <w:rFonts w:eastAsia="Times New Roman" w:cstheme="minorHAnsi"/>
              </w:rPr>
              <w:t>Location </w:t>
            </w:r>
          </w:p>
        </w:tc>
        <w:tc>
          <w:tcPr>
            <w:tcW w:w="2249" w:type="dxa"/>
            <w:tcBorders>
              <w:top w:val="nil"/>
              <w:left w:val="nil"/>
              <w:bottom w:val="single" w:color="auto" w:sz="6" w:space="0"/>
              <w:right w:val="single" w:color="auto" w:sz="6" w:space="0"/>
            </w:tcBorders>
            <w:shd w:val="clear" w:color="auto" w:fill="auto"/>
            <w:hideMark/>
          </w:tcPr>
          <w:p w:rsidRPr="004764F6" w:rsidR="00FF54D5" w:rsidP="00D826D3" w:rsidRDefault="00FF54D5" w14:paraId="1DE2F697" w14:textId="77777777">
            <w:pPr>
              <w:jc w:val="both"/>
              <w:textAlignment w:val="baseline"/>
              <w:rPr>
                <w:rFonts w:eastAsia="Times New Roman" w:cstheme="minorHAnsi"/>
              </w:rPr>
            </w:pPr>
            <w:r w:rsidRPr="004764F6">
              <w:rPr>
                <w:rFonts w:eastAsia="Times New Roman" w:cstheme="minorHAnsi"/>
              </w:rPr>
              <w:t>Sharepoint </w:t>
            </w:r>
          </w:p>
        </w:tc>
        <w:tc>
          <w:tcPr>
            <w:tcW w:w="2249" w:type="dxa"/>
            <w:tcBorders>
              <w:top w:val="nil"/>
              <w:left w:val="nil"/>
              <w:bottom w:val="single" w:color="auto" w:sz="6" w:space="0"/>
              <w:right w:val="single" w:color="auto" w:sz="6" w:space="0"/>
            </w:tcBorders>
            <w:shd w:val="clear" w:color="auto" w:fill="auto"/>
            <w:hideMark/>
          </w:tcPr>
          <w:p w:rsidRPr="004764F6" w:rsidR="00FF54D5" w:rsidP="00D826D3" w:rsidRDefault="00FF54D5" w14:paraId="271ABF12" w14:textId="77777777">
            <w:pPr>
              <w:jc w:val="both"/>
              <w:textAlignment w:val="baseline"/>
              <w:rPr>
                <w:rFonts w:eastAsia="Times New Roman" w:cstheme="minorHAnsi"/>
              </w:rPr>
            </w:pPr>
            <w:r w:rsidRPr="004764F6">
              <w:rPr>
                <w:rFonts w:eastAsia="Times New Roman" w:cstheme="minorHAnsi"/>
              </w:rPr>
              <w:t>Author </w:t>
            </w:r>
          </w:p>
        </w:tc>
        <w:tc>
          <w:tcPr>
            <w:tcW w:w="2248" w:type="dxa"/>
            <w:tcBorders>
              <w:top w:val="nil"/>
              <w:left w:val="nil"/>
              <w:bottom w:val="single" w:color="auto" w:sz="6" w:space="0"/>
              <w:right w:val="single" w:color="auto" w:sz="6" w:space="0"/>
            </w:tcBorders>
            <w:shd w:val="clear" w:color="auto" w:fill="auto"/>
            <w:hideMark/>
          </w:tcPr>
          <w:p w:rsidRPr="004764F6" w:rsidR="00FF54D5" w:rsidP="00D826D3" w:rsidRDefault="00FF54D5" w14:paraId="4820E291" w14:textId="6804D71E">
            <w:pPr>
              <w:jc w:val="both"/>
              <w:textAlignment w:val="baseline"/>
              <w:rPr>
                <w:rFonts w:eastAsia="Times New Roman" w:cstheme="minorHAnsi"/>
              </w:rPr>
            </w:pPr>
            <w:r>
              <w:rPr>
                <w:rFonts w:eastAsia="Times New Roman" w:cstheme="minorHAnsi"/>
              </w:rPr>
              <w:t>PWA</w:t>
            </w:r>
          </w:p>
        </w:tc>
      </w:tr>
      <w:tr w:rsidRPr="004764F6" w:rsidR="00FF54D5" w:rsidTr="000E2065" w14:paraId="6C11DE4E" w14:textId="77777777">
        <w:trPr>
          <w:jc w:val="center"/>
        </w:trPr>
        <w:tc>
          <w:tcPr>
            <w:tcW w:w="2248" w:type="dxa"/>
            <w:tcBorders>
              <w:top w:val="nil"/>
              <w:left w:val="single" w:color="auto" w:sz="6" w:space="0"/>
              <w:bottom w:val="single" w:color="auto" w:sz="6" w:space="0"/>
              <w:right w:val="single" w:color="auto" w:sz="6" w:space="0"/>
            </w:tcBorders>
            <w:shd w:val="clear" w:color="auto" w:fill="auto"/>
            <w:hideMark/>
          </w:tcPr>
          <w:p w:rsidRPr="004764F6" w:rsidR="00FF54D5" w:rsidP="00D67055" w:rsidRDefault="00FF54D5" w14:paraId="1DC161BC" w14:textId="77777777">
            <w:pPr>
              <w:jc w:val="both"/>
              <w:textAlignment w:val="baseline"/>
              <w:rPr>
                <w:rFonts w:eastAsia="Times New Roman" w:cstheme="minorHAnsi"/>
              </w:rPr>
            </w:pPr>
            <w:r w:rsidRPr="004764F6">
              <w:rPr>
                <w:rFonts w:eastAsia="Times New Roman" w:cstheme="minorHAnsi"/>
              </w:rPr>
              <w:t>Approved by SLT </w:t>
            </w:r>
          </w:p>
        </w:tc>
        <w:tc>
          <w:tcPr>
            <w:tcW w:w="2249" w:type="dxa"/>
            <w:tcBorders>
              <w:top w:val="nil"/>
              <w:left w:val="nil"/>
              <w:bottom w:val="single" w:color="auto" w:sz="6" w:space="0"/>
              <w:right w:val="single" w:color="auto" w:sz="6" w:space="0"/>
            </w:tcBorders>
            <w:shd w:val="clear" w:color="auto" w:fill="auto"/>
            <w:hideMark/>
          </w:tcPr>
          <w:p w:rsidRPr="004764F6" w:rsidR="00FF54D5" w:rsidP="00D826D3" w:rsidRDefault="00FF54D5" w14:paraId="1ECF1DD3" w14:textId="77777777">
            <w:pPr>
              <w:jc w:val="both"/>
              <w:textAlignment w:val="baseline"/>
              <w:rPr>
                <w:rFonts w:eastAsia="Times New Roman" w:cstheme="minorHAnsi"/>
              </w:rPr>
            </w:pPr>
            <w:r>
              <w:rPr>
                <w:rFonts w:eastAsia="Times New Roman" w:cstheme="minorHAnsi"/>
              </w:rPr>
              <w:t>Yes</w:t>
            </w:r>
            <w:r w:rsidRPr="004764F6">
              <w:rPr>
                <w:rFonts w:eastAsia="Times New Roman" w:cstheme="minorHAnsi"/>
              </w:rPr>
              <w:t> </w:t>
            </w:r>
          </w:p>
        </w:tc>
        <w:tc>
          <w:tcPr>
            <w:tcW w:w="2249" w:type="dxa"/>
            <w:tcBorders>
              <w:top w:val="nil"/>
              <w:left w:val="nil"/>
              <w:bottom w:val="single" w:color="auto" w:sz="6" w:space="0"/>
              <w:right w:val="single" w:color="auto" w:sz="6" w:space="0"/>
            </w:tcBorders>
            <w:shd w:val="clear" w:color="auto" w:fill="auto"/>
            <w:hideMark/>
          </w:tcPr>
          <w:p w:rsidRPr="004764F6" w:rsidR="00FF54D5" w:rsidP="00D826D3" w:rsidRDefault="00FF54D5" w14:paraId="0AB7E7CB" w14:textId="77777777">
            <w:pPr>
              <w:jc w:val="both"/>
              <w:textAlignment w:val="baseline"/>
              <w:rPr>
                <w:rFonts w:eastAsia="Times New Roman" w:cstheme="minorHAnsi"/>
              </w:rPr>
            </w:pPr>
            <w:r w:rsidRPr="004764F6">
              <w:rPr>
                <w:rFonts w:eastAsia="Times New Roman" w:cstheme="minorHAnsi"/>
              </w:rPr>
              <w:t>Date </w:t>
            </w:r>
          </w:p>
        </w:tc>
        <w:tc>
          <w:tcPr>
            <w:tcW w:w="2248" w:type="dxa"/>
            <w:tcBorders>
              <w:top w:val="nil"/>
              <w:left w:val="nil"/>
              <w:bottom w:val="single" w:color="auto" w:sz="6" w:space="0"/>
              <w:right w:val="single" w:color="auto" w:sz="6" w:space="0"/>
            </w:tcBorders>
            <w:shd w:val="clear" w:color="auto" w:fill="auto"/>
            <w:hideMark/>
          </w:tcPr>
          <w:p w:rsidRPr="004764F6" w:rsidR="00FF54D5" w:rsidP="00D826D3" w:rsidRDefault="00FF54D5" w14:paraId="4C441CCE" w14:textId="26F6F964">
            <w:pPr>
              <w:jc w:val="both"/>
              <w:textAlignment w:val="baseline"/>
              <w:rPr>
                <w:rFonts w:eastAsia="Times New Roman" w:cstheme="minorHAnsi"/>
              </w:rPr>
            </w:pPr>
            <w:r w:rsidRPr="004764F6">
              <w:rPr>
                <w:rFonts w:eastAsia="Times New Roman" w:cstheme="minorHAnsi"/>
              </w:rPr>
              <w:t> </w:t>
            </w:r>
            <w:r>
              <w:rPr>
                <w:rFonts w:eastAsia="Times New Roman" w:cstheme="minorHAnsi"/>
              </w:rPr>
              <w:t>January 2021</w:t>
            </w:r>
          </w:p>
        </w:tc>
      </w:tr>
      <w:tr w:rsidRPr="004764F6" w:rsidR="00FF54D5" w:rsidTr="000E2065" w14:paraId="61C9CE65" w14:textId="77777777">
        <w:trPr>
          <w:jc w:val="center"/>
        </w:trPr>
        <w:tc>
          <w:tcPr>
            <w:tcW w:w="2248" w:type="dxa"/>
            <w:tcBorders>
              <w:top w:val="nil"/>
              <w:left w:val="single" w:color="auto" w:sz="6" w:space="0"/>
              <w:bottom w:val="single" w:color="auto" w:sz="6" w:space="0"/>
              <w:right w:val="single" w:color="auto" w:sz="6" w:space="0"/>
            </w:tcBorders>
            <w:shd w:val="clear" w:color="auto" w:fill="auto"/>
            <w:hideMark/>
          </w:tcPr>
          <w:p w:rsidRPr="004764F6" w:rsidR="00FF54D5" w:rsidP="00D826D3" w:rsidRDefault="00FF54D5" w14:paraId="048A3D84" w14:textId="77777777">
            <w:pPr>
              <w:jc w:val="both"/>
              <w:textAlignment w:val="baseline"/>
              <w:rPr>
                <w:rFonts w:eastAsia="Times New Roman" w:cstheme="minorHAnsi"/>
              </w:rPr>
            </w:pPr>
            <w:r w:rsidRPr="004764F6">
              <w:rPr>
                <w:rFonts w:eastAsia="Times New Roman" w:cstheme="minorHAnsi"/>
              </w:rPr>
              <w:t>Last Review </w:t>
            </w:r>
          </w:p>
        </w:tc>
        <w:tc>
          <w:tcPr>
            <w:tcW w:w="2249" w:type="dxa"/>
            <w:tcBorders>
              <w:top w:val="nil"/>
              <w:left w:val="nil"/>
              <w:bottom w:val="single" w:color="auto" w:sz="6" w:space="0"/>
              <w:right w:val="single" w:color="auto" w:sz="6" w:space="0"/>
            </w:tcBorders>
            <w:shd w:val="clear" w:color="auto" w:fill="auto"/>
            <w:hideMark/>
          </w:tcPr>
          <w:p w:rsidRPr="004764F6" w:rsidR="00FF54D5" w:rsidP="00D826D3" w:rsidRDefault="00FF54D5" w14:paraId="4666A913" w14:textId="4C825D80">
            <w:pPr>
              <w:jc w:val="both"/>
              <w:textAlignment w:val="baseline"/>
              <w:rPr>
                <w:rFonts w:eastAsia="Times New Roman" w:cstheme="minorHAnsi"/>
              </w:rPr>
            </w:pPr>
            <w:r>
              <w:rPr>
                <w:rFonts w:eastAsia="Times New Roman" w:cstheme="minorHAnsi"/>
              </w:rPr>
              <w:t>January 2021</w:t>
            </w:r>
          </w:p>
        </w:tc>
        <w:tc>
          <w:tcPr>
            <w:tcW w:w="2249" w:type="dxa"/>
            <w:tcBorders>
              <w:top w:val="nil"/>
              <w:left w:val="nil"/>
              <w:bottom w:val="single" w:color="auto" w:sz="6" w:space="0"/>
              <w:right w:val="single" w:color="auto" w:sz="6" w:space="0"/>
            </w:tcBorders>
            <w:shd w:val="clear" w:color="auto" w:fill="auto"/>
            <w:hideMark/>
          </w:tcPr>
          <w:p w:rsidRPr="004764F6" w:rsidR="00FF54D5" w:rsidP="00D826D3" w:rsidRDefault="00FF54D5" w14:paraId="6B71199D" w14:textId="77777777">
            <w:pPr>
              <w:jc w:val="both"/>
              <w:textAlignment w:val="baseline"/>
              <w:rPr>
                <w:rFonts w:eastAsia="Times New Roman" w:cstheme="minorHAnsi"/>
              </w:rPr>
            </w:pPr>
            <w:r w:rsidRPr="004764F6">
              <w:rPr>
                <w:rFonts w:eastAsia="Times New Roman" w:cstheme="minorHAnsi"/>
              </w:rPr>
              <w:t>Next Review </w:t>
            </w:r>
          </w:p>
        </w:tc>
        <w:tc>
          <w:tcPr>
            <w:tcW w:w="2248" w:type="dxa"/>
            <w:tcBorders>
              <w:top w:val="nil"/>
              <w:left w:val="nil"/>
              <w:bottom w:val="single" w:color="auto" w:sz="6" w:space="0"/>
              <w:right w:val="single" w:color="auto" w:sz="6" w:space="0"/>
            </w:tcBorders>
            <w:shd w:val="clear" w:color="auto" w:fill="auto"/>
            <w:hideMark/>
          </w:tcPr>
          <w:p w:rsidRPr="004764F6" w:rsidR="00FF54D5" w:rsidP="00D826D3" w:rsidRDefault="00FF54D5" w14:paraId="6CF08276" w14:textId="2DD23841">
            <w:pPr>
              <w:jc w:val="both"/>
              <w:textAlignment w:val="baseline"/>
              <w:rPr>
                <w:rFonts w:eastAsia="Times New Roman" w:cstheme="minorHAnsi"/>
              </w:rPr>
            </w:pPr>
            <w:r>
              <w:rPr>
                <w:rFonts w:eastAsia="Times New Roman" w:cstheme="minorHAnsi"/>
              </w:rPr>
              <w:t>January</w:t>
            </w:r>
            <w:r w:rsidRPr="004764F6">
              <w:rPr>
                <w:rFonts w:eastAsia="Times New Roman" w:cstheme="minorHAnsi"/>
              </w:rPr>
              <w:t xml:space="preserve"> 202</w:t>
            </w:r>
            <w:r>
              <w:rPr>
                <w:rFonts w:eastAsia="Times New Roman" w:cstheme="minorHAnsi"/>
              </w:rPr>
              <w:t>2</w:t>
            </w:r>
          </w:p>
        </w:tc>
      </w:tr>
      <w:tr w:rsidRPr="004764F6" w:rsidR="00FF54D5" w:rsidTr="000E2065" w14:paraId="0119BF59" w14:textId="77777777">
        <w:trPr>
          <w:jc w:val="center"/>
        </w:trPr>
        <w:tc>
          <w:tcPr>
            <w:tcW w:w="2248" w:type="dxa"/>
            <w:tcBorders>
              <w:top w:val="nil"/>
              <w:left w:val="single" w:color="auto" w:sz="6" w:space="0"/>
              <w:bottom w:val="single" w:color="auto" w:sz="4" w:space="0"/>
              <w:right w:val="single" w:color="auto" w:sz="6" w:space="0"/>
            </w:tcBorders>
            <w:shd w:val="clear" w:color="auto" w:fill="auto"/>
            <w:hideMark/>
          </w:tcPr>
          <w:p w:rsidRPr="004764F6" w:rsidR="00FF54D5" w:rsidP="00D826D3" w:rsidRDefault="00FF54D5" w14:paraId="15FFD754" w14:textId="77777777">
            <w:pPr>
              <w:jc w:val="both"/>
              <w:textAlignment w:val="baseline"/>
              <w:rPr>
                <w:rFonts w:eastAsia="Times New Roman" w:cstheme="minorHAnsi"/>
              </w:rPr>
            </w:pPr>
            <w:r w:rsidRPr="004764F6">
              <w:rPr>
                <w:rFonts w:eastAsia="Times New Roman" w:cstheme="minorHAnsi"/>
              </w:rPr>
              <w:t>Version </w:t>
            </w:r>
          </w:p>
        </w:tc>
        <w:tc>
          <w:tcPr>
            <w:tcW w:w="2249" w:type="dxa"/>
            <w:tcBorders>
              <w:top w:val="nil"/>
              <w:left w:val="nil"/>
              <w:bottom w:val="single" w:color="auto" w:sz="4" w:space="0"/>
              <w:right w:val="single" w:color="auto" w:sz="6" w:space="0"/>
            </w:tcBorders>
            <w:shd w:val="clear" w:color="auto" w:fill="auto"/>
            <w:hideMark/>
          </w:tcPr>
          <w:p w:rsidRPr="004764F6" w:rsidR="00FF54D5" w:rsidP="00D826D3" w:rsidRDefault="00FF54D5" w14:paraId="12F474CE" w14:textId="77777777">
            <w:pPr>
              <w:jc w:val="both"/>
              <w:textAlignment w:val="baseline"/>
              <w:rPr>
                <w:rFonts w:eastAsia="Times New Roman" w:cstheme="minorHAnsi"/>
              </w:rPr>
            </w:pPr>
            <w:r w:rsidRPr="004764F6">
              <w:rPr>
                <w:rFonts w:eastAsia="Times New Roman" w:cstheme="minorHAnsi"/>
              </w:rPr>
              <w:t>Author </w:t>
            </w:r>
          </w:p>
        </w:tc>
        <w:tc>
          <w:tcPr>
            <w:tcW w:w="2249" w:type="dxa"/>
            <w:tcBorders>
              <w:top w:val="nil"/>
              <w:left w:val="nil"/>
              <w:bottom w:val="single" w:color="auto" w:sz="4" w:space="0"/>
              <w:right w:val="single" w:color="auto" w:sz="6" w:space="0"/>
            </w:tcBorders>
            <w:shd w:val="clear" w:color="auto" w:fill="auto"/>
            <w:hideMark/>
          </w:tcPr>
          <w:p w:rsidRPr="004764F6" w:rsidR="00FF54D5" w:rsidP="00D826D3" w:rsidRDefault="00FF54D5" w14:paraId="4731BAA8" w14:textId="77777777">
            <w:pPr>
              <w:jc w:val="both"/>
              <w:textAlignment w:val="baseline"/>
              <w:rPr>
                <w:rFonts w:eastAsia="Times New Roman" w:cstheme="minorHAnsi"/>
              </w:rPr>
            </w:pPr>
            <w:r w:rsidRPr="004764F6">
              <w:rPr>
                <w:rFonts w:eastAsia="Times New Roman" w:cstheme="minorHAnsi"/>
              </w:rPr>
              <w:t>Issue date </w:t>
            </w:r>
          </w:p>
        </w:tc>
        <w:tc>
          <w:tcPr>
            <w:tcW w:w="2248" w:type="dxa"/>
            <w:tcBorders>
              <w:top w:val="nil"/>
              <w:left w:val="nil"/>
              <w:bottom w:val="single" w:color="auto" w:sz="4" w:space="0"/>
              <w:right w:val="single" w:color="auto" w:sz="6" w:space="0"/>
            </w:tcBorders>
            <w:shd w:val="clear" w:color="auto" w:fill="auto"/>
            <w:hideMark/>
          </w:tcPr>
          <w:p w:rsidRPr="004764F6" w:rsidR="00FF54D5" w:rsidP="00D826D3" w:rsidRDefault="00FF54D5" w14:paraId="59D2A53B" w14:textId="77777777">
            <w:pPr>
              <w:jc w:val="both"/>
              <w:textAlignment w:val="baseline"/>
              <w:rPr>
                <w:rFonts w:eastAsia="Times New Roman" w:cstheme="minorHAnsi"/>
              </w:rPr>
            </w:pPr>
            <w:r w:rsidRPr="004764F6">
              <w:rPr>
                <w:rFonts w:eastAsia="Times New Roman" w:cstheme="minorHAnsi"/>
              </w:rPr>
              <w:t>Summery </w:t>
            </w:r>
          </w:p>
        </w:tc>
      </w:tr>
      <w:tr w:rsidRPr="004764F6" w:rsidR="00FF54D5" w:rsidTr="000E2065" w14:paraId="69E948C7" w14:textId="77777777">
        <w:trPr>
          <w:jc w:val="center"/>
        </w:trPr>
        <w:tc>
          <w:tcPr>
            <w:tcW w:w="2248" w:type="dxa"/>
            <w:tcBorders>
              <w:top w:val="single" w:color="auto" w:sz="4" w:space="0"/>
              <w:left w:val="single" w:color="auto" w:sz="4" w:space="0"/>
              <w:bottom w:val="single" w:color="auto" w:sz="4" w:space="0"/>
              <w:right w:val="single" w:color="auto" w:sz="4" w:space="0"/>
            </w:tcBorders>
            <w:shd w:val="clear" w:color="auto" w:fill="auto"/>
            <w:hideMark/>
          </w:tcPr>
          <w:p w:rsidRPr="004764F6" w:rsidR="00FF54D5" w:rsidP="00D826D3" w:rsidRDefault="00FF54D5" w14:paraId="53CE76EC" w14:textId="77777777">
            <w:pPr>
              <w:jc w:val="both"/>
              <w:textAlignment w:val="baseline"/>
              <w:rPr>
                <w:rFonts w:eastAsia="Times New Roman" w:cstheme="minorHAnsi"/>
              </w:rPr>
            </w:pPr>
            <w:r w:rsidRPr="004764F6">
              <w:rPr>
                <w:rFonts w:eastAsia="Times New Roman" w:cstheme="minorHAnsi"/>
              </w:rPr>
              <w:t>V.1 </w:t>
            </w:r>
          </w:p>
        </w:tc>
        <w:tc>
          <w:tcPr>
            <w:tcW w:w="2249" w:type="dxa"/>
            <w:tcBorders>
              <w:top w:val="single" w:color="auto" w:sz="4" w:space="0"/>
              <w:left w:val="single" w:color="auto" w:sz="4" w:space="0"/>
              <w:bottom w:val="single" w:color="auto" w:sz="4" w:space="0"/>
              <w:right w:val="single" w:color="auto" w:sz="4" w:space="0"/>
            </w:tcBorders>
            <w:shd w:val="clear" w:color="auto" w:fill="auto"/>
            <w:hideMark/>
          </w:tcPr>
          <w:p w:rsidRPr="004764F6" w:rsidR="00FF54D5" w:rsidP="00D826D3" w:rsidRDefault="00FF54D5" w14:paraId="32B5216A" w14:textId="59ED33FC">
            <w:pPr>
              <w:jc w:val="both"/>
              <w:textAlignment w:val="baseline"/>
              <w:rPr>
                <w:rFonts w:eastAsia="Times New Roman" w:cstheme="minorHAnsi"/>
              </w:rPr>
            </w:pPr>
            <w:r>
              <w:rPr>
                <w:rFonts w:eastAsia="Times New Roman" w:cstheme="minorHAnsi"/>
              </w:rPr>
              <w:t>PWA</w:t>
            </w:r>
          </w:p>
        </w:tc>
        <w:tc>
          <w:tcPr>
            <w:tcW w:w="2249" w:type="dxa"/>
            <w:tcBorders>
              <w:top w:val="single" w:color="auto" w:sz="4" w:space="0"/>
              <w:left w:val="single" w:color="auto" w:sz="4" w:space="0"/>
              <w:bottom w:val="single" w:color="auto" w:sz="4" w:space="0"/>
              <w:right w:val="single" w:color="auto" w:sz="4" w:space="0"/>
            </w:tcBorders>
            <w:shd w:val="clear" w:color="auto" w:fill="auto"/>
            <w:hideMark/>
          </w:tcPr>
          <w:p w:rsidRPr="004764F6" w:rsidR="00FF54D5" w:rsidP="00D826D3" w:rsidRDefault="00FF54D5" w14:paraId="69CFB11A" w14:textId="6909FACF">
            <w:pPr>
              <w:jc w:val="both"/>
              <w:textAlignment w:val="baseline"/>
              <w:rPr>
                <w:rFonts w:eastAsia="Times New Roman" w:cstheme="minorHAnsi"/>
              </w:rPr>
            </w:pPr>
            <w:r w:rsidRPr="004764F6">
              <w:rPr>
                <w:rFonts w:eastAsia="Times New Roman" w:cstheme="minorHAnsi"/>
              </w:rPr>
              <w:t>January 20</w:t>
            </w:r>
            <w:r>
              <w:rPr>
                <w:rFonts w:eastAsia="Times New Roman" w:cstheme="minorHAnsi"/>
              </w:rPr>
              <w:t>21</w:t>
            </w:r>
          </w:p>
        </w:tc>
        <w:tc>
          <w:tcPr>
            <w:tcW w:w="2248" w:type="dxa"/>
            <w:tcBorders>
              <w:top w:val="single" w:color="auto" w:sz="4" w:space="0"/>
              <w:left w:val="single" w:color="auto" w:sz="4" w:space="0"/>
              <w:bottom w:val="single" w:color="auto" w:sz="4" w:space="0"/>
              <w:right w:val="single" w:color="auto" w:sz="4" w:space="0"/>
            </w:tcBorders>
            <w:shd w:val="clear" w:color="auto" w:fill="auto"/>
            <w:hideMark/>
          </w:tcPr>
          <w:p w:rsidRPr="004764F6" w:rsidR="00FF54D5" w:rsidP="00D826D3" w:rsidRDefault="00FF54D5" w14:paraId="5FCA2B3A" w14:textId="77777777">
            <w:pPr>
              <w:jc w:val="both"/>
              <w:textAlignment w:val="baseline"/>
              <w:rPr>
                <w:rFonts w:eastAsia="Times New Roman" w:cstheme="minorHAnsi"/>
              </w:rPr>
            </w:pPr>
            <w:r w:rsidRPr="004764F6">
              <w:rPr>
                <w:rFonts w:eastAsia="Times New Roman" w:cstheme="minorHAnsi"/>
              </w:rPr>
              <w:t>First draft </w:t>
            </w:r>
          </w:p>
        </w:tc>
      </w:tr>
    </w:tbl>
    <w:p w:rsidRPr="004764F6" w:rsidR="00FF54D5" w:rsidP="00D826D3" w:rsidRDefault="00FF54D5" w14:paraId="78437BBD" w14:textId="77777777">
      <w:pPr>
        <w:spacing w:after="0" w:line="240" w:lineRule="auto"/>
        <w:jc w:val="both"/>
        <w:rPr>
          <w:rFonts w:cstheme="minorHAnsi"/>
        </w:rPr>
      </w:pPr>
    </w:p>
    <w:p w:rsidRPr="004764F6" w:rsidR="00FF54D5" w:rsidP="00D826D3" w:rsidRDefault="00FF54D5" w14:paraId="4FEEF679" w14:textId="77777777">
      <w:pPr>
        <w:spacing w:after="0" w:line="240" w:lineRule="auto"/>
        <w:jc w:val="both"/>
        <w:rPr>
          <w:rFonts w:cstheme="minorHAnsi"/>
          <w:b/>
          <w:bCs/>
        </w:rPr>
      </w:pPr>
    </w:p>
    <w:p w:rsidRPr="004764F6" w:rsidR="00FF54D5" w:rsidP="00D826D3" w:rsidRDefault="00FF54D5" w14:paraId="1D7260B1" w14:textId="77777777">
      <w:pPr>
        <w:spacing w:after="0" w:line="240" w:lineRule="auto"/>
        <w:jc w:val="both"/>
        <w:rPr>
          <w:rFonts w:cstheme="minorHAnsi"/>
          <w:b/>
          <w:bCs/>
        </w:rPr>
      </w:pPr>
    </w:p>
    <w:p w:rsidRPr="004916DF" w:rsidR="00D67055" w:rsidP="00D67055" w:rsidRDefault="00D67055" w14:paraId="59B0CED4" w14:textId="77777777">
      <w:pPr>
        <w:pStyle w:val="NoSpacing"/>
        <w:ind w:left="0" w:firstLine="0"/>
        <w:rPr>
          <w:b/>
          <w:bCs/>
          <w:sz w:val="22"/>
        </w:rPr>
      </w:pPr>
      <w:r w:rsidRPr="004916DF">
        <w:rPr>
          <w:b/>
          <w:bCs/>
          <w:sz w:val="22"/>
        </w:rPr>
        <w:t>Key Person(s)</w:t>
      </w:r>
    </w:p>
    <w:p w:rsidRPr="004916DF" w:rsidR="00D67055" w:rsidP="00D67055" w:rsidRDefault="00D67055" w14:paraId="6EFB8915" w14:textId="77777777">
      <w:pPr>
        <w:pStyle w:val="NoSpacing"/>
        <w:ind w:left="0" w:firstLine="0"/>
        <w:rPr>
          <w:b/>
          <w:bCs/>
          <w:sz w:val="22"/>
        </w:rPr>
      </w:pPr>
    </w:p>
    <w:p w:rsidRPr="004916DF" w:rsidR="00D67055" w:rsidP="00D67055" w:rsidRDefault="00D67055" w14:paraId="42C6E450" w14:textId="77777777">
      <w:pPr>
        <w:pStyle w:val="NoSpacing"/>
        <w:ind w:left="0" w:firstLine="0"/>
        <w:rPr>
          <w:b/>
          <w:bCs/>
          <w:sz w:val="22"/>
        </w:rPr>
      </w:pPr>
      <w:r w:rsidRPr="004916DF">
        <w:rPr>
          <w:b/>
          <w:bCs/>
          <w:sz w:val="22"/>
        </w:rPr>
        <w:t>Managing Director</w:t>
      </w:r>
    </w:p>
    <w:p w:rsidRPr="004916DF" w:rsidR="00D67055" w:rsidP="00D67055" w:rsidRDefault="00D67055" w14:paraId="6331AA4D" w14:textId="77777777">
      <w:pPr>
        <w:pStyle w:val="NoSpacing"/>
        <w:ind w:left="0" w:firstLine="0"/>
        <w:rPr>
          <w:b/>
          <w:bCs/>
          <w:sz w:val="22"/>
        </w:rPr>
      </w:pPr>
      <w:r w:rsidRPr="004916DF">
        <w:rPr>
          <w:b/>
          <w:bCs/>
          <w:sz w:val="22"/>
        </w:rPr>
        <w:t>Director of Operations</w:t>
      </w:r>
    </w:p>
    <w:p w:rsidRPr="004916DF" w:rsidR="00D67055" w:rsidP="00D67055" w:rsidRDefault="00D67055" w14:paraId="035F32A1" w14:textId="77777777">
      <w:pPr>
        <w:pStyle w:val="NoSpacing"/>
        <w:ind w:left="0" w:firstLine="0"/>
        <w:rPr>
          <w:b/>
          <w:bCs/>
          <w:sz w:val="22"/>
        </w:rPr>
      </w:pPr>
      <w:r w:rsidRPr="3CD6B621" w:rsidR="00D67055">
        <w:rPr>
          <w:b w:val="1"/>
          <w:bCs w:val="1"/>
          <w:sz w:val="22"/>
          <w:szCs w:val="22"/>
        </w:rPr>
        <w:t xml:space="preserve">Higher Education Manager </w:t>
      </w:r>
    </w:p>
    <w:p w:rsidR="00D67055" w:rsidP="3CD6B621" w:rsidRDefault="00D67055" w14:paraId="44A1E133" w14:textId="5CAB7765">
      <w:pPr>
        <w:spacing w:after="160" w:line="259" w:lineRule="auto"/>
        <w:jc w:val="both"/>
        <w:rPr>
          <w:rFonts w:ascii="Calibri" w:hAnsi="Calibri" w:eastAsia="Calibri" w:cs="Calibri"/>
          <w:b w:val="0"/>
          <w:bCs w:val="0"/>
          <w:i w:val="0"/>
          <w:iCs w:val="0"/>
          <w:noProof w:val="0"/>
          <w:color w:val="000000" w:themeColor="text1" w:themeTint="FF" w:themeShade="FF"/>
          <w:sz w:val="22"/>
          <w:szCs w:val="22"/>
          <w:lang w:val="en-GB"/>
        </w:rPr>
      </w:pPr>
      <w:r w:rsidRPr="3CD6B621" w:rsidR="6CE1A5B9">
        <w:rPr>
          <w:rFonts w:ascii="Calibri" w:hAnsi="Calibri" w:eastAsia="Calibri" w:cs="Calibri"/>
          <w:b w:val="1"/>
          <w:bCs w:val="1"/>
          <w:i w:val="0"/>
          <w:iCs w:val="0"/>
          <w:noProof w:val="0"/>
          <w:color w:val="000000" w:themeColor="text1" w:themeTint="FF" w:themeShade="FF"/>
          <w:sz w:val="22"/>
          <w:szCs w:val="22"/>
          <w:lang w:val="en-GB"/>
        </w:rPr>
        <w:t>Chief of Staff</w:t>
      </w:r>
    </w:p>
    <w:p w:rsidR="00D67055" w:rsidP="3CD6B621" w:rsidRDefault="00D67055" w14:paraId="7625F81E" w14:textId="3FEA5C39">
      <w:pPr>
        <w:pStyle w:val="Normal"/>
        <w:jc w:val="both"/>
        <w:rPr>
          <w:rFonts w:ascii="Calibri" w:hAnsi="Calibri" w:cs="Calibri"/>
          <w:b w:val="1"/>
          <w:bCs w:val="1"/>
        </w:rPr>
      </w:pPr>
    </w:p>
    <w:p w:rsidR="00D67055" w:rsidP="00D67055" w:rsidRDefault="00D67055" w14:paraId="29AC887E" w14:textId="77777777">
      <w:pPr>
        <w:jc w:val="both"/>
        <w:rPr>
          <w:rFonts w:cstheme="minorHAnsi"/>
        </w:rPr>
      </w:pPr>
    </w:p>
    <w:p w:rsidRPr="004764F6" w:rsidR="00FF54D5" w:rsidP="00D826D3" w:rsidRDefault="00FF54D5" w14:paraId="1D1C1C5D" w14:textId="77777777">
      <w:pPr>
        <w:spacing w:after="0" w:line="240" w:lineRule="auto"/>
        <w:jc w:val="both"/>
        <w:rPr>
          <w:rFonts w:cstheme="minorHAnsi"/>
        </w:rPr>
      </w:pPr>
    </w:p>
    <w:p w:rsidRPr="00FF54D5" w:rsidR="00FF54D5" w:rsidP="00D826D3" w:rsidRDefault="00FF54D5" w14:paraId="6C8AF745" w14:textId="0379A766">
      <w:pPr>
        <w:jc w:val="both"/>
        <w:rPr>
          <w:rFonts w:cstheme="minorHAnsi"/>
          <w:b/>
          <w:bCs/>
        </w:rPr>
      </w:pPr>
      <w:r w:rsidRPr="004764F6">
        <w:rPr>
          <w:rFonts w:cstheme="minorHAnsi"/>
        </w:rPr>
        <w:br w:type="page"/>
      </w:r>
      <w:r w:rsidRPr="00FF54D5">
        <w:rPr>
          <w:rFonts w:cstheme="minorHAnsi"/>
          <w:b/>
          <w:bCs/>
        </w:rPr>
        <w:lastRenderedPageBreak/>
        <w:t>Administration and Registration Policy</w:t>
      </w:r>
    </w:p>
    <w:p w:rsidR="00FF54D5" w:rsidP="00D826D3" w:rsidRDefault="00FF54D5" w14:paraId="0229A74E" w14:textId="77777777">
      <w:pPr>
        <w:jc w:val="both"/>
        <w:rPr>
          <w:rFonts w:cstheme="minorHAnsi"/>
          <w:b/>
          <w:bCs/>
        </w:rPr>
      </w:pPr>
      <w:r w:rsidRPr="004764F6">
        <w:rPr>
          <w:rFonts w:cstheme="minorHAnsi"/>
          <w:b/>
          <w:bCs/>
        </w:rPr>
        <w:t>Policy Statement</w:t>
      </w:r>
    </w:p>
    <w:p w:rsidR="004A63A5" w:rsidP="00D826D3" w:rsidRDefault="00733BBB" w14:paraId="1B3E3C0F" w14:textId="2FB1F3EC">
      <w:pPr>
        <w:jc w:val="both"/>
      </w:pPr>
      <w:r>
        <w:t>City College</w:t>
      </w:r>
      <w:r w:rsidR="004A63A5">
        <w:t xml:space="preserve"> is fully committed to accuracy and consistency within the management of</w:t>
      </w:r>
      <w:r>
        <w:t xml:space="preserve"> all</w:t>
      </w:r>
      <w:r w:rsidR="004A63A5">
        <w:t xml:space="preserve"> student </w:t>
      </w:r>
      <w:r>
        <w:t>information and recognises the importance of timeliness, accuracy and integrity</w:t>
      </w:r>
      <w:r w:rsidR="004A63A5">
        <w:t xml:space="preserve"> </w:t>
      </w:r>
      <w:r>
        <w:t>when handling all student information</w:t>
      </w:r>
      <w:r w:rsidR="004A63A5">
        <w:t xml:space="preserve">. This </w:t>
      </w:r>
      <w:r>
        <w:t>policy explains the high expectations City College has of all staff in the handling of student information and outlines the process of registering students with the awarding bodies who will ultimately quality assure each student’s programme.</w:t>
      </w:r>
    </w:p>
    <w:p w:rsidR="00B12C64" w:rsidP="00B12C64" w:rsidRDefault="00B12C64" w14:paraId="3D67871A" w14:textId="7BA7E156">
      <w:pPr>
        <w:pStyle w:val="paragraph"/>
        <w:spacing w:before="0" w:beforeAutospacing="0" w:after="0" w:afterAutospacing="0"/>
        <w:jc w:val="both"/>
        <w:textAlignment w:val="baseline"/>
        <w:rPr>
          <w:rStyle w:val="eop"/>
          <w:rFonts w:ascii="Calibri" w:hAnsi="Calibri" w:cs="Calibri"/>
          <w:color w:val="000000"/>
          <w:sz w:val="22"/>
          <w:szCs w:val="22"/>
        </w:rPr>
      </w:pPr>
      <w:r>
        <w:rPr>
          <w:rStyle w:val="normaltextrun"/>
          <w:rFonts w:ascii="Calibri" w:hAnsi="Calibri" w:cs="Calibri"/>
          <w:color w:val="000000"/>
          <w:sz w:val="22"/>
          <w:szCs w:val="22"/>
        </w:rPr>
        <w:t>The following legislation and guidance is relevant to this policy;</w:t>
      </w:r>
      <w:r>
        <w:rPr>
          <w:rStyle w:val="eop"/>
          <w:rFonts w:ascii="Calibri" w:hAnsi="Calibri" w:cs="Calibri"/>
          <w:color w:val="000000"/>
          <w:sz w:val="22"/>
          <w:szCs w:val="22"/>
        </w:rPr>
        <w:t> </w:t>
      </w:r>
    </w:p>
    <w:p w:rsidR="00B12C64" w:rsidP="00B12C64" w:rsidRDefault="00B12C64" w14:paraId="14D309E2" w14:textId="77777777">
      <w:pPr>
        <w:pStyle w:val="paragraph"/>
        <w:spacing w:before="0" w:beforeAutospacing="0" w:after="0" w:afterAutospacing="0"/>
        <w:jc w:val="both"/>
        <w:textAlignment w:val="baseline"/>
        <w:rPr>
          <w:rFonts w:ascii="Calibri" w:hAnsi="Calibri" w:cs="Calibri"/>
          <w:color w:val="000000"/>
          <w:sz w:val="22"/>
          <w:szCs w:val="22"/>
        </w:rPr>
      </w:pPr>
    </w:p>
    <w:p w:rsidR="00B12C64" w:rsidP="00B12C64" w:rsidRDefault="00B12C64" w14:paraId="47B6D560" w14:textId="77777777">
      <w:pPr>
        <w:pStyle w:val="paragraph"/>
        <w:numPr>
          <w:ilvl w:val="0"/>
          <w:numId w:val="1"/>
        </w:numPr>
        <w:spacing w:before="0" w:beforeAutospacing="0" w:after="0" w:afterAutospacing="0"/>
        <w:ind w:left="1080" w:firstLine="0"/>
        <w:jc w:val="both"/>
        <w:textAlignment w:val="baseline"/>
        <w:rPr>
          <w:rFonts w:ascii="Calibri" w:hAnsi="Calibri" w:cs="Calibri"/>
          <w:color w:val="000000"/>
          <w:sz w:val="22"/>
          <w:szCs w:val="22"/>
        </w:rPr>
      </w:pPr>
      <w:r>
        <w:rPr>
          <w:rStyle w:val="normaltextrun"/>
          <w:rFonts w:ascii="Calibri" w:hAnsi="Calibri" w:cs="Calibri"/>
          <w:color w:val="000000"/>
          <w:sz w:val="22"/>
          <w:szCs w:val="22"/>
        </w:rPr>
        <w:t>Equality Act 2010</w:t>
      </w:r>
      <w:r>
        <w:rPr>
          <w:rStyle w:val="eop"/>
          <w:rFonts w:ascii="Calibri" w:hAnsi="Calibri" w:cs="Calibri"/>
          <w:color w:val="000000"/>
          <w:sz w:val="22"/>
          <w:szCs w:val="22"/>
        </w:rPr>
        <w:t> </w:t>
      </w:r>
    </w:p>
    <w:p w:rsidR="00B12C64" w:rsidP="00B12C64" w:rsidRDefault="00B12C64" w14:paraId="4C24910D" w14:textId="77777777">
      <w:pPr>
        <w:pStyle w:val="paragraph"/>
        <w:numPr>
          <w:ilvl w:val="0"/>
          <w:numId w:val="1"/>
        </w:numPr>
        <w:spacing w:before="0" w:beforeAutospacing="0" w:after="0" w:afterAutospacing="0"/>
        <w:ind w:left="1080" w:firstLine="0"/>
        <w:jc w:val="both"/>
        <w:textAlignment w:val="baseline"/>
        <w:rPr>
          <w:rFonts w:ascii="Calibri" w:hAnsi="Calibri" w:cs="Calibri"/>
          <w:color w:val="000000"/>
          <w:sz w:val="22"/>
          <w:szCs w:val="22"/>
        </w:rPr>
      </w:pPr>
      <w:r>
        <w:rPr>
          <w:rStyle w:val="normaltextrun"/>
          <w:rFonts w:ascii="Calibri" w:hAnsi="Calibri" w:cs="Calibri"/>
          <w:color w:val="000000"/>
          <w:sz w:val="22"/>
          <w:szCs w:val="22"/>
        </w:rPr>
        <w:t>Health and Safety at Work Act 1974</w:t>
      </w:r>
      <w:r>
        <w:rPr>
          <w:rStyle w:val="eop"/>
          <w:rFonts w:ascii="Calibri" w:hAnsi="Calibri" w:cs="Calibri"/>
          <w:color w:val="000000"/>
          <w:sz w:val="22"/>
          <w:szCs w:val="22"/>
        </w:rPr>
        <w:t> </w:t>
      </w:r>
    </w:p>
    <w:p w:rsidR="00B12C64" w:rsidP="00B12C64" w:rsidRDefault="00B12C64" w14:paraId="31DD7D02" w14:textId="14239F4A">
      <w:pPr>
        <w:pStyle w:val="paragraph"/>
        <w:numPr>
          <w:ilvl w:val="0"/>
          <w:numId w:val="2"/>
        </w:numPr>
        <w:spacing w:before="0" w:beforeAutospacing="0" w:after="0" w:afterAutospacing="0"/>
        <w:ind w:left="1080" w:firstLine="0"/>
        <w:jc w:val="both"/>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General Data Protection Regulations 2018</w:t>
      </w:r>
    </w:p>
    <w:p w:rsidR="003178CC" w:rsidP="00B12C64" w:rsidRDefault="003178CC" w14:paraId="35A292D4" w14:textId="1ABD2DB0">
      <w:pPr>
        <w:pStyle w:val="paragraph"/>
        <w:numPr>
          <w:ilvl w:val="0"/>
          <w:numId w:val="2"/>
        </w:numPr>
        <w:spacing w:before="0" w:beforeAutospacing="0" w:after="0" w:afterAutospacing="0"/>
        <w:ind w:left="1080" w:firstLine="0"/>
        <w:jc w:val="both"/>
        <w:textAlignment w:val="baseline"/>
        <w:rPr>
          <w:rFonts w:ascii="Calibri" w:hAnsi="Calibri" w:cs="Calibri"/>
          <w:color w:val="000000"/>
          <w:sz w:val="22"/>
          <w:szCs w:val="22"/>
        </w:rPr>
      </w:pPr>
      <w:r w:rsidRPr="003178CC">
        <w:rPr>
          <w:rFonts w:ascii="Calibri" w:hAnsi="Calibri" w:cs="Calibri"/>
          <w:color w:val="000000"/>
          <w:sz w:val="22"/>
          <w:szCs w:val="22"/>
        </w:rPr>
        <w:t>The Consumer Contracts Regulations 2013</w:t>
      </w:r>
    </w:p>
    <w:p w:rsidRPr="00B12C64" w:rsidR="00B12C64" w:rsidP="00B12C64" w:rsidRDefault="00B12C64" w14:paraId="528F55E8" w14:textId="0EBE18E4">
      <w:pPr>
        <w:pStyle w:val="paragraph"/>
        <w:numPr>
          <w:ilvl w:val="1"/>
          <w:numId w:val="2"/>
        </w:numPr>
        <w:spacing w:after="0"/>
        <w:jc w:val="both"/>
        <w:textAlignment w:val="baseline"/>
        <w:rPr>
          <w:rFonts w:ascii="Calibri" w:hAnsi="Calibri" w:cs="Calibri"/>
          <w:color w:val="000000"/>
          <w:sz w:val="22"/>
          <w:szCs w:val="22"/>
        </w:rPr>
      </w:pPr>
      <w:r w:rsidRPr="00B12C64">
        <w:rPr>
          <w:rStyle w:val="normaltextrun"/>
          <w:rFonts w:ascii="Calibri" w:hAnsi="Calibri" w:cs="Calibri"/>
          <w:color w:val="000000"/>
          <w:sz w:val="22"/>
          <w:szCs w:val="22"/>
        </w:rPr>
        <w:t>Ofqual Handbook – General</w:t>
      </w:r>
      <w:r>
        <w:rPr>
          <w:rStyle w:val="normaltextrun"/>
          <w:rFonts w:ascii="Calibri" w:hAnsi="Calibri" w:cs="Calibri"/>
          <w:color w:val="000000"/>
          <w:sz w:val="22"/>
          <w:szCs w:val="22"/>
        </w:rPr>
        <w:t xml:space="preserve"> </w:t>
      </w:r>
      <w:r w:rsidRPr="00B12C64">
        <w:rPr>
          <w:rStyle w:val="normaltextrun"/>
          <w:rFonts w:ascii="Calibri" w:hAnsi="Calibri" w:cs="Calibri"/>
          <w:color w:val="000000"/>
          <w:sz w:val="22"/>
          <w:szCs w:val="22"/>
        </w:rPr>
        <w:t>Conditions of Recognition</w:t>
      </w:r>
      <w:r w:rsidRPr="00B12C64">
        <w:rPr>
          <w:rStyle w:val="eop"/>
          <w:rFonts w:ascii="Calibri" w:hAnsi="Calibri" w:cs="Calibri"/>
          <w:color w:val="000000"/>
          <w:sz w:val="22"/>
          <w:szCs w:val="22"/>
        </w:rPr>
        <w:t> </w:t>
      </w:r>
    </w:p>
    <w:p w:rsidRPr="00D826D3" w:rsidR="00D826D3" w:rsidP="00D826D3" w:rsidRDefault="00D826D3" w14:paraId="7E72EF02" w14:textId="5E94BD07">
      <w:pPr>
        <w:jc w:val="both"/>
        <w:rPr>
          <w:b/>
          <w:bCs/>
        </w:rPr>
      </w:pPr>
      <w:r w:rsidRPr="00D826D3">
        <w:rPr>
          <w:b/>
          <w:bCs/>
        </w:rPr>
        <w:t>Management of Student Information</w:t>
      </w:r>
    </w:p>
    <w:p w:rsidR="00733BBB" w:rsidP="00D826D3" w:rsidRDefault="004A63A5" w14:paraId="731C5789" w14:textId="69345619">
      <w:pPr>
        <w:jc w:val="both"/>
      </w:pPr>
      <w:r>
        <w:t xml:space="preserve">Registering students with </w:t>
      </w:r>
      <w:r w:rsidR="00733BBB">
        <w:t xml:space="preserve">an </w:t>
      </w:r>
      <w:r>
        <w:t>awarding bod</w:t>
      </w:r>
      <w:r w:rsidR="00733BBB">
        <w:t>y</w:t>
      </w:r>
      <w:r>
        <w:t xml:space="preserve"> is the process of recording key </w:t>
      </w:r>
      <w:r w:rsidR="00733BBB">
        <w:t>personal information</w:t>
      </w:r>
      <w:r>
        <w:t xml:space="preserve"> in association with </w:t>
      </w:r>
      <w:r w:rsidR="00733BBB">
        <w:t>students and programmes</w:t>
      </w:r>
      <w:r>
        <w:t xml:space="preserve">. </w:t>
      </w:r>
      <w:r w:rsidR="004A0F9C">
        <w:t>Although the information may vary from one awarding body to another</w:t>
      </w:r>
      <w:r w:rsidR="00174F9E">
        <w:t xml:space="preserve"> or within different partnership arrangements</w:t>
      </w:r>
      <w:r w:rsidR="004A0F9C">
        <w:t xml:space="preserve">, the College will follow the same process for each student, regardless of the </w:t>
      </w:r>
      <w:r w:rsidR="00F258AC">
        <w:t>differences in required information.</w:t>
      </w:r>
    </w:p>
    <w:p w:rsidR="00D826D3" w:rsidP="00D826D3" w:rsidRDefault="00D826D3" w14:paraId="79EB3F7F" w14:textId="0D78EAE6">
      <w:pPr>
        <w:jc w:val="both"/>
        <w:rPr>
          <w:b/>
          <w:bCs/>
        </w:rPr>
      </w:pPr>
      <w:r w:rsidRPr="00D826D3">
        <w:rPr>
          <w:b/>
          <w:bCs/>
        </w:rPr>
        <w:t xml:space="preserve">Student </w:t>
      </w:r>
      <w:r>
        <w:rPr>
          <w:b/>
          <w:bCs/>
        </w:rPr>
        <w:t>Information</w:t>
      </w:r>
      <w:r w:rsidRPr="00D826D3">
        <w:rPr>
          <w:b/>
          <w:bCs/>
        </w:rPr>
        <w:t xml:space="preserve"> Monitoring</w:t>
      </w:r>
    </w:p>
    <w:p w:rsidR="00B12C64" w:rsidP="00B12C64" w:rsidRDefault="00B12C64" w14:paraId="69B1C42C" w14:textId="77777777">
      <w:pPr>
        <w:jc w:val="both"/>
      </w:pPr>
      <w:r>
        <w:t>Student information is maintained on the City College Student Management System and processed electronically. In the interests of equality, should a student need to submit their information on paper, City College will respond to this as a possible reasonable adjustment. Relevant student information will be maintained securely for 3 years after certification in line with the OFQUAL requirement to maintain information for as</w:t>
      </w:r>
      <w:r w:rsidRPr="00174F9E">
        <w:t xml:space="preserve"> long as required to undertake effective monitoring</w:t>
      </w:r>
      <w:r>
        <w:t>.</w:t>
      </w:r>
    </w:p>
    <w:p w:rsidR="00B12C64" w:rsidP="00D826D3" w:rsidRDefault="00C14DC1" w14:paraId="34EF2321" w14:textId="74FC5C9C">
      <w:pPr>
        <w:jc w:val="both"/>
      </w:pPr>
      <w:r>
        <w:t>The College</w:t>
      </w:r>
      <w:r w:rsidR="00B12C64">
        <w:t xml:space="preserve"> requires all information to be accurate, true and with no pertinent information omitted</w:t>
      </w:r>
      <w:r>
        <w:t xml:space="preserve">, </w:t>
      </w:r>
      <w:r w:rsidR="00B12C64">
        <w:t>students are required to sign declarations to this effect.</w:t>
      </w:r>
      <w:r>
        <w:t xml:space="preserve"> </w:t>
      </w:r>
      <w:r w:rsidR="00B12C64">
        <w:t xml:space="preserve">Any </w:t>
      </w:r>
      <w:r>
        <w:t>information provided by students</w:t>
      </w:r>
      <w:r w:rsidR="00B12C64">
        <w:t xml:space="preserve"> suspected of containing fraudulent information will be investigated by the </w:t>
      </w:r>
      <w:r>
        <w:t>College</w:t>
      </w:r>
      <w:r w:rsidR="00B12C64">
        <w:t xml:space="preserve"> and, where appropriate, referred to </w:t>
      </w:r>
      <w:r>
        <w:t>an external party for further investigation.</w:t>
      </w:r>
    </w:p>
    <w:p w:rsidR="00935537" w:rsidP="00D826D3" w:rsidRDefault="00C14DC1" w14:paraId="4F9C565D" w14:textId="37170E92">
      <w:pPr>
        <w:jc w:val="both"/>
      </w:pPr>
      <w:r>
        <w:t>T</w:t>
      </w:r>
      <w:r w:rsidR="00935537">
        <w:t xml:space="preserve">o eliminate fraudulent </w:t>
      </w:r>
      <w:r>
        <w:t>information being submitted by students, the college</w:t>
      </w:r>
      <w:r w:rsidR="00935537">
        <w:t xml:space="preserve"> require every applicant</w:t>
      </w:r>
      <w:r>
        <w:t xml:space="preserve"> </w:t>
      </w:r>
      <w:r w:rsidR="00935537">
        <w:t xml:space="preserve">to apply using the name shown on their passport or birth certificate. This name will be </w:t>
      </w:r>
      <w:r>
        <w:t>entered into the College Student Management System</w:t>
      </w:r>
      <w:r w:rsidR="00935537">
        <w:t xml:space="preserve"> and must be used throughout </w:t>
      </w:r>
      <w:r>
        <w:t>the student’s learning journey</w:t>
      </w:r>
      <w:r w:rsidR="00935537">
        <w:t xml:space="preserve"> unless </w:t>
      </w:r>
      <w:r>
        <w:t>legally changed by the student.</w:t>
      </w:r>
      <w:r w:rsidR="00935537">
        <w:t xml:space="preserve"> </w:t>
      </w:r>
      <w:r w:rsidR="009D737F">
        <w:t>Students should report any errors in spelling or data entry.</w:t>
      </w:r>
    </w:p>
    <w:p w:rsidRPr="00D826D3" w:rsidR="00935537" w:rsidP="00D826D3" w:rsidRDefault="00935537" w14:paraId="221293E1" w14:textId="46B5B26C">
      <w:pPr>
        <w:jc w:val="both"/>
        <w:rPr>
          <w:b/>
          <w:bCs/>
        </w:rPr>
      </w:pPr>
      <w:r>
        <w:t xml:space="preserve">Anonymised </w:t>
      </w:r>
      <w:r w:rsidR="009D737F">
        <w:t>student information</w:t>
      </w:r>
      <w:r>
        <w:t xml:space="preserve"> including information on age, disability, gender, ethnicity, religion </w:t>
      </w:r>
      <w:r w:rsidR="00422D89">
        <w:t>and</w:t>
      </w:r>
      <w:r>
        <w:t xml:space="preserve"> sexual orientation will be used for statistical and reporting </w:t>
      </w:r>
      <w:r w:rsidR="009D737F">
        <w:t>purposes.</w:t>
      </w:r>
    </w:p>
    <w:p w:rsidRPr="00D826D3" w:rsidR="00D826D3" w:rsidP="00D826D3" w:rsidRDefault="00D826D3" w14:paraId="18E782E0" w14:textId="293490F7">
      <w:pPr>
        <w:jc w:val="both"/>
        <w:rPr>
          <w:b/>
          <w:bCs/>
        </w:rPr>
      </w:pPr>
      <w:r w:rsidRPr="00D826D3">
        <w:rPr>
          <w:b/>
          <w:bCs/>
        </w:rPr>
        <w:t>Registration of Students</w:t>
      </w:r>
    </w:p>
    <w:p w:rsidR="00422D89" w:rsidP="00D826D3" w:rsidRDefault="004A63A5" w14:paraId="64548978" w14:textId="77777777">
      <w:pPr>
        <w:jc w:val="both"/>
      </w:pPr>
      <w:r>
        <w:t xml:space="preserve">The process of registration is </w:t>
      </w:r>
      <w:r w:rsidR="00422D89">
        <w:t>starts</w:t>
      </w:r>
      <w:r>
        <w:t xml:space="preserve"> from the point </w:t>
      </w:r>
      <w:r w:rsidR="00422D89">
        <w:t>of when timetabled lessons begin,</w:t>
      </w:r>
      <w:r>
        <w:t xml:space="preserve"> not when students start attending</w:t>
      </w:r>
      <w:r w:rsidR="00422D89">
        <w:t xml:space="preserve"> their induction</w:t>
      </w:r>
      <w:r>
        <w:t xml:space="preserve">. </w:t>
      </w:r>
      <w:r w:rsidR="00422D89">
        <w:t>The College will register</w:t>
      </w:r>
      <w:r>
        <w:t xml:space="preserve"> students with </w:t>
      </w:r>
      <w:r w:rsidR="00422D89">
        <w:t>the relevant</w:t>
      </w:r>
      <w:r>
        <w:t xml:space="preserve"> awarding body</w:t>
      </w:r>
      <w:r w:rsidR="00422D89">
        <w:t xml:space="preserve"> or partner organisation</w:t>
      </w:r>
      <w:r>
        <w:t xml:space="preserve"> who meet the </w:t>
      </w:r>
      <w:r w:rsidR="00422D89">
        <w:t>attendance and academic</w:t>
      </w:r>
      <w:r>
        <w:t xml:space="preserve"> standards</w:t>
      </w:r>
      <w:r w:rsidR="00422D89">
        <w:t xml:space="preserve"> during their induction.</w:t>
      </w:r>
    </w:p>
    <w:p w:rsidR="004A63A5" w:rsidP="00D826D3" w:rsidRDefault="004A63A5" w14:paraId="175AEB8C" w14:textId="7B6AAEAD">
      <w:pPr>
        <w:jc w:val="both"/>
      </w:pPr>
      <w:r>
        <w:lastRenderedPageBreak/>
        <w:t xml:space="preserve">The </w:t>
      </w:r>
      <w:r w:rsidR="00422D89">
        <w:t>Admissions Team will</w:t>
      </w:r>
      <w:r>
        <w:t xml:space="preserve"> review the list of students to be registered. The list of students with acceptable attendance are then uploaded to </w:t>
      </w:r>
      <w:r w:rsidR="0020012A">
        <w:t xml:space="preserve">either </w:t>
      </w:r>
      <w:r>
        <w:t>the Awarding Body Registration system</w:t>
      </w:r>
      <w:r w:rsidR="0020012A">
        <w:t xml:space="preserve"> or shared with the relevant partner organisation through a secure portal provided by that partner during the first week of the students timetabled lessons</w:t>
      </w:r>
      <w:r>
        <w:t>. Receipt of registered students are provided by the awarding body including awarding body specific student identification numbers. These details are checked for accuracy and entered into the Student Management System</w:t>
      </w:r>
      <w:r w:rsidR="0020012A">
        <w:t>.</w:t>
      </w:r>
    </w:p>
    <w:p w:rsidR="004A63A5" w:rsidP="00D826D3" w:rsidRDefault="00D826D3" w14:paraId="425CF424" w14:textId="0CE839E3">
      <w:pPr>
        <w:jc w:val="both"/>
        <w:rPr>
          <w:b/>
          <w:bCs/>
        </w:rPr>
      </w:pPr>
      <w:r w:rsidRPr="00D826D3">
        <w:rPr>
          <w:b/>
          <w:bCs/>
        </w:rPr>
        <w:t>Publishing Assessment Results</w:t>
      </w:r>
    </w:p>
    <w:p w:rsidRPr="005F1987" w:rsidR="00F64493" w:rsidP="00D826D3" w:rsidRDefault="005F1987" w14:paraId="44017508" w14:textId="0A7E5B26">
      <w:pPr>
        <w:jc w:val="both"/>
      </w:pPr>
      <w:r w:rsidRPr="005F1987">
        <w:t>Intermediary</w:t>
      </w:r>
      <w:r w:rsidRPr="005F1987" w:rsidR="00F64493">
        <w:t xml:space="preserve"> assessment results are shared with students no more than four weeks following the submission deadline. All intermediary results are </w:t>
      </w:r>
      <w:r w:rsidRPr="005F1987">
        <w:t>published subject to change following guidance from either and External Examiner or Assessment Board.</w:t>
      </w:r>
    </w:p>
    <w:p w:rsidR="0020012A" w:rsidP="00D826D3" w:rsidRDefault="00F64493" w14:paraId="52236922" w14:textId="7EEAB329">
      <w:pPr>
        <w:jc w:val="both"/>
      </w:pPr>
      <w:r>
        <w:t>Final</w:t>
      </w:r>
      <w:r w:rsidR="0020012A">
        <w:t xml:space="preserve"> assessment results are shared with each student following the i</w:t>
      </w:r>
      <w:r w:rsidR="004A63A5">
        <w:t>nternal verification is the process whereby staff peers check the quality of assessment setting</w:t>
      </w:r>
      <w:r w:rsidR="0020012A">
        <w:t>. T</w:t>
      </w:r>
      <w:r w:rsidR="004A63A5">
        <w:t xml:space="preserve">he accuracy of grading decisions and the effectiveness of feedback taking place </w:t>
      </w:r>
      <w:r w:rsidR="0020012A">
        <w:t>during this process</w:t>
      </w:r>
    </w:p>
    <w:p w:rsidR="004A63A5" w:rsidP="00D826D3" w:rsidRDefault="004A63A5" w14:paraId="265B31B8" w14:textId="46AEA815">
      <w:pPr>
        <w:jc w:val="both"/>
      </w:pPr>
      <w:r>
        <w:t>All grades issued are provisional until they have been Internally Verified and ratified</w:t>
      </w:r>
      <w:r w:rsidR="0020012A">
        <w:t xml:space="preserve"> by an </w:t>
      </w:r>
      <w:r>
        <w:t>Assessment Board at the end of the Academic Year</w:t>
      </w:r>
      <w:r w:rsidR="0020012A">
        <w:t xml:space="preserve"> and an External Examiner</w:t>
      </w:r>
      <w:r>
        <w:t xml:space="preserve">. </w:t>
      </w:r>
      <w:r w:rsidR="0020012A">
        <w:t>The</w:t>
      </w:r>
      <w:r>
        <w:t xml:space="preserve"> External Examiner is appointed by </w:t>
      </w:r>
      <w:r w:rsidR="0020012A">
        <w:t>Pearson</w:t>
      </w:r>
      <w:r>
        <w:t xml:space="preserve"> </w:t>
      </w:r>
      <w:r w:rsidR="0020012A">
        <w:t>or by a partner organisation</w:t>
      </w:r>
      <w:r>
        <w:t xml:space="preserve"> to assess standards achieved by students and examine the management of </w:t>
      </w:r>
      <w:r w:rsidR="0020012A">
        <w:t>the programme.</w:t>
      </w:r>
      <w:r>
        <w:t xml:space="preserve"> The College cannot make any awards without an </w:t>
      </w:r>
      <w:r w:rsidR="0020012A">
        <w:t>External Examiner</w:t>
      </w:r>
      <w:r>
        <w:t xml:space="preserve"> participating in the assessment process. </w:t>
      </w:r>
    </w:p>
    <w:p w:rsidR="004A63A5" w:rsidP="00D826D3" w:rsidRDefault="00F64493" w14:paraId="20E0D092" w14:textId="4701C414">
      <w:pPr>
        <w:jc w:val="both"/>
      </w:pPr>
      <w:r>
        <w:t xml:space="preserve">Within no more than one week following the </w:t>
      </w:r>
      <w:r w:rsidR="004A63A5">
        <w:t xml:space="preserve">assessment results have been </w:t>
      </w:r>
      <w:r>
        <w:t>ratified by</w:t>
      </w:r>
      <w:r w:rsidR="004A63A5">
        <w:t xml:space="preserve"> an </w:t>
      </w:r>
      <w:r>
        <w:t>A</w:t>
      </w:r>
      <w:r w:rsidR="004A63A5">
        <w:t xml:space="preserve">ssessment </w:t>
      </w:r>
      <w:r>
        <w:t>B</w:t>
      </w:r>
      <w:r w:rsidR="004A63A5">
        <w:t>oard</w:t>
      </w:r>
      <w:r>
        <w:t xml:space="preserve"> the Academic Team will</w:t>
      </w:r>
      <w:r w:rsidR="004A63A5">
        <w:t xml:space="preserve"> submit a written report</w:t>
      </w:r>
      <w:r>
        <w:t xml:space="preserve"> for each student</w:t>
      </w:r>
      <w:r w:rsidR="004A63A5">
        <w:t>, which is available for</w:t>
      </w:r>
      <w:r>
        <w:t xml:space="preserve"> individual</w:t>
      </w:r>
      <w:r w:rsidR="004A63A5">
        <w:t xml:space="preserve"> students to view on the </w:t>
      </w:r>
      <w:r>
        <w:t>College Virtual Learning Environment (VLE)</w:t>
      </w:r>
      <w:r w:rsidR="004A63A5">
        <w:t xml:space="preserve">. Each report should </w:t>
      </w:r>
      <w:r>
        <w:t>clearly highlight each</w:t>
      </w:r>
      <w:r w:rsidR="004A63A5">
        <w:t xml:space="preserve"> student</w:t>
      </w:r>
      <w:r>
        <w:t>’s</w:t>
      </w:r>
      <w:r w:rsidR="004A63A5">
        <w:t xml:space="preserve"> performance</w:t>
      </w:r>
      <w:r>
        <w:t xml:space="preserve">. </w:t>
      </w:r>
      <w:r w:rsidR="004A63A5">
        <w:t xml:space="preserve">The </w:t>
      </w:r>
      <w:r>
        <w:t>C</w:t>
      </w:r>
      <w:r w:rsidR="004A63A5">
        <w:t xml:space="preserve">ollege will make </w:t>
      </w:r>
      <w:r>
        <w:t>any External Examiners</w:t>
      </w:r>
      <w:r w:rsidR="004A63A5">
        <w:t xml:space="preserve"> Reports available in full, with the sole exception of any confidential </w:t>
      </w:r>
      <w:r>
        <w:t>student information. The report will be published on the College VLE</w:t>
      </w:r>
    </w:p>
    <w:p w:rsidRPr="00D826D3" w:rsidR="004A63A5" w:rsidP="00D826D3" w:rsidRDefault="00D826D3" w14:paraId="5D9933D4" w14:textId="4AA48A20">
      <w:pPr>
        <w:jc w:val="both"/>
        <w:rPr>
          <w:b/>
          <w:bCs/>
        </w:rPr>
      </w:pPr>
      <w:r w:rsidRPr="00D826D3">
        <w:rPr>
          <w:b/>
          <w:bCs/>
        </w:rPr>
        <w:t xml:space="preserve">Claiming </w:t>
      </w:r>
      <w:r w:rsidRPr="00D826D3" w:rsidR="004A63A5">
        <w:rPr>
          <w:b/>
          <w:bCs/>
        </w:rPr>
        <w:t>Certification</w:t>
      </w:r>
    </w:p>
    <w:p w:rsidR="004A63A5" w:rsidP="00D826D3" w:rsidRDefault="004A63A5" w14:paraId="3FD54813" w14:textId="77777777">
      <w:pPr>
        <w:jc w:val="both"/>
      </w:pPr>
      <w:r>
        <w:t>The below timeline describes the process for the issue of physical Pearson certificates and relates to students completing all summative assessment by the first agreed deadline.</w:t>
      </w:r>
    </w:p>
    <w:tbl>
      <w:tblPr>
        <w:tblStyle w:val="TableGrid"/>
        <w:tblW w:w="0" w:type="auto"/>
        <w:tblLook w:val="04A0" w:firstRow="1" w:lastRow="0" w:firstColumn="1" w:lastColumn="0" w:noHBand="0" w:noVBand="1"/>
      </w:tblPr>
      <w:tblGrid>
        <w:gridCol w:w="4872"/>
        <w:gridCol w:w="4144"/>
      </w:tblGrid>
      <w:tr w:rsidRPr="00444D68" w:rsidR="00444D68" w:rsidTr="00444D68" w14:paraId="54760B32" w14:textId="77777777">
        <w:tc>
          <w:tcPr>
            <w:tcW w:w="4872" w:type="dxa"/>
            <w:shd w:val="clear" w:color="auto" w:fill="BFBFBF" w:themeFill="background1" w:themeFillShade="BF"/>
          </w:tcPr>
          <w:p w:rsidRPr="00444D68" w:rsidR="00444D68" w:rsidP="000E2065" w:rsidRDefault="00444D68" w14:paraId="174B9515" w14:textId="77777777">
            <w:pPr>
              <w:jc w:val="center"/>
              <w:rPr>
                <w:rFonts w:cstheme="minorHAnsi"/>
              </w:rPr>
            </w:pPr>
          </w:p>
          <w:p w:rsidRPr="00444D68" w:rsidR="00444D68" w:rsidP="000E2065" w:rsidRDefault="00444D68" w14:paraId="49A2FBFA" w14:textId="77777777">
            <w:pPr>
              <w:jc w:val="center"/>
              <w:rPr>
                <w:rFonts w:cstheme="minorHAnsi"/>
              </w:rPr>
            </w:pPr>
            <w:r w:rsidRPr="00444D68">
              <w:rPr>
                <w:rFonts w:cstheme="minorHAnsi"/>
              </w:rPr>
              <w:t>Award stage</w:t>
            </w:r>
          </w:p>
        </w:tc>
        <w:tc>
          <w:tcPr>
            <w:tcW w:w="4144" w:type="dxa"/>
            <w:shd w:val="clear" w:color="auto" w:fill="BFBFBF" w:themeFill="background1" w:themeFillShade="BF"/>
          </w:tcPr>
          <w:p w:rsidRPr="00444D68" w:rsidR="00444D68" w:rsidP="000E2065" w:rsidRDefault="00444D68" w14:paraId="0CA98C40" w14:textId="77777777">
            <w:pPr>
              <w:jc w:val="center"/>
              <w:rPr>
                <w:rFonts w:cstheme="minorHAnsi"/>
              </w:rPr>
            </w:pPr>
          </w:p>
          <w:p w:rsidRPr="00444D68" w:rsidR="00444D68" w:rsidP="000E2065" w:rsidRDefault="00444D68" w14:paraId="5F763257" w14:textId="77777777">
            <w:pPr>
              <w:jc w:val="center"/>
              <w:rPr>
                <w:rFonts w:cstheme="minorHAnsi"/>
              </w:rPr>
            </w:pPr>
            <w:r w:rsidRPr="00444D68">
              <w:rPr>
                <w:rFonts w:cstheme="minorHAnsi"/>
              </w:rPr>
              <w:t>Anticipated timeline</w:t>
            </w:r>
          </w:p>
        </w:tc>
      </w:tr>
      <w:tr w:rsidRPr="00444D68" w:rsidR="00444D68" w:rsidTr="00444D68" w14:paraId="64EF3210" w14:textId="77777777">
        <w:tc>
          <w:tcPr>
            <w:tcW w:w="4872" w:type="dxa"/>
            <w:shd w:val="clear" w:color="auto" w:fill="auto"/>
          </w:tcPr>
          <w:p w:rsidRPr="00444D68" w:rsidR="00444D68" w:rsidP="000E2065" w:rsidRDefault="00444D68" w14:paraId="4F9863F7" w14:textId="19570FB5">
            <w:pPr>
              <w:rPr>
                <w:rFonts w:cstheme="minorHAnsi"/>
              </w:rPr>
            </w:pPr>
            <w:r w:rsidRPr="00444D68">
              <w:rPr>
                <w:rFonts w:cstheme="minorHAnsi"/>
              </w:rPr>
              <w:t>All work due for completion of year/</w:t>
            </w:r>
            <w:r w:rsidR="00D67055">
              <w:rPr>
                <w:rFonts w:cstheme="minorHAnsi"/>
              </w:rPr>
              <w:t>programme</w:t>
            </w:r>
            <w:r w:rsidRPr="00444D68">
              <w:rPr>
                <w:rFonts w:cstheme="minorHAnsi"/>
              </w:rPr>
              <w:t xml:space="preserve"> is submitted by the student by the final deadline date set.</w:t>
            </w:r>
          </w:p>
        </w:tc>
        <w:tc>
          <w:tcPr>
            <w:tcW w:w="4144" w:type="dxa"/>
            <w:vMerge w:val="restart"/>
            <w:shd w:val="clear" w:color="auto" w:fill="auto"/>
          </w:tcPr>
          <w:p w:rsidRPr="00444D68" w:rsidR="00444D68" w:rsidP="000E2065" w:rsidRDefault="00444D68" w14:paraId="243FDCAA" w14:textId="77777777">
            <w:pPr>
              <w:jc w:val="center"/>
              <w:rPr>
                <w:rFonts w:cstheme="minorHAnsi"/>
              </w:rPr>
            </w:pPr>
          </w:p>
          <w:p w:rsidRPr="00444D68" w:rsidR="00444D68" w:rsidP="000E2065" w:rsidRDefault="00444D68" w14:paraId="410128BE" w14:textId="77777777">
            <w:pPr>
              <w:jc w:val="center"/>
              <w:rPr>
                <w:rFonts w:cstheme="minorHAnsi"/>
              </w:rPr>
            </w:pPr>
          </w:p>
          <w:p w:rsidRPr="00444D68" w:rsidR="00444D68" w:rsidP="000E2065" w:rsidRDefault="00444D68" w14:paraId="6484E9B2" w14:textId="77777777">
            <w:pPr>
              <w:jc w:val="center"/>
              <w:rPr>
                <w:rFonts w:cstheme="minorHAnsi"/>
              </w:rPr>
            </w:pPr>
          </w:p>
          <w:p w:rsidRPr="00444D68" w:rsidR="00444D68" w:rsidP="000E2065" w:rsidRDefault="00444D68" w14:paraId="5A064859" w14:textId="77777777">
            <w:pPr>
              <w:jc w:val="center"/>
              <w:rPr>
                <w:rFonts w:cstheme="minorHAnsi"/>
              </w:rPr>
            </w:pPr>
          </w:p>
          <w:p w:rsidRPr="00444D68" w:rsidR="00444D68" w:rsidP="000E2065" w:rsidRDefault="00444D68" w14:paraId="3E1273BF" w14:textId="77777777">
            <w:pPr>
              <w:jc w:val="center"/>
              <w:rPr>
                <w:rFonts w:cstheme="minorHAnsi"/>
              </w:rPr>
            </w:pPr>
            <w:r w:rsidRPr="00444D68">
              <w:rPr>
                <w:rFonts w:cstheme="minorHAnsi"/>
              </w:rPr>
              <w:t>All activities must take place prior to assessment board.</w:t>
            </w:r>
          </w:p>
        </w:tc>
      </w:tr>
      <w:tr w:rsidRPr="00444D68" w:rsidR="00444D68" w:rsidTr="00444D68" w14:paraId="717D9668" w14:textId="77777777">
        <w:tc>
          <w:tcPr>
            <w:tcW w:w="4872" w:type="dxa"/>
            <w:shd w:val="clear" w:color="auto" w:fill="auto"/>
          </w:tcPr>
          <w:p w:rsidRPr="00444D68" w:rsidR="00444D68" w:rsidP="000E2065" w:rsidRDefault="00444D68" w14:paraId="47607B2F" w14:textId="70822CF8">
            <w:pPr>
              <w:rPr>
                <w:rFonts w:cstheme="minorHAnsi"/>
              </w:rPr>
            </w:pPr>
            <w:r w:rsidRPr="00444D68">
              <w:rPr>
                <w:rFonts w:cstheme="minorHAnsi"/>
              </w:rPr>
              <w:t xml:space="preserve">The </w:t>
            </w:r>
            <w:r>
              <w:rPr>
                <w:rFonts w:cstheme="minorHAnsi"/>
              </w:rPr>
              <w:t>P</w:t>
            </w:r>
            <w:r w:rsidRPr="00444D68">
              <w:rPr>
                <w:rFonts w:cstheme="minorHAnsi"/>
              </w:rPr>
              <w:t xml:space="preserve">rogramme </w:t>
            </w:r>
            <w:r>
              <w:rPr>
                <w:rFonts w:cstheme="minorHAnsi"/>
              </w:rPr>
              <w:t>L</w:t>
            </w:r>
            <w:r w:rsidRPr="00444D68">
              <w:rPr>
                <w:rFonts w:cstheme="minorHAnsi"/>
              </w:rPr>
              <w:t>ead oversees the marking of assessments and internal moderation/verification of grading.</w:t>
            </w:r>
          </w:p>
        </w:tc>
        <w:tc>
          <w:tcPr>
            <w:tcW w:w="4144" w:type="dxa"/>
            <w:vMerge/>
            <w:shd w:val="clear" w:color="auto" w:fill="auto"/>
          </w:tcPr>
          <w:p w:rsidRPr="00444D68" w:rsidR="00444D68" w:rsidP="000E2065" w:rsidRDefault="00444D68" w14:paraId="5B629F14" w14:textId="77777777">
            <w:pPr>
              <w:jc w:val="center"/>
              <w:rPr>
                <w:rFonts w:cstheme="minorHAnsi"/>
              </w:rPr>
            </w:pPr>
          </w:p>
        </w:tc>
      </w:tr>
      <w:tr w:rsidRPr="00444D68" w:rsidR="00444D68" w:rsidTr="00444D68" w14:paraId="23355089" w14:textId="77777777">
        <w:tc>
          <w:tcPr>
            <w:tcW w:w="4872" w:type="dxa"/>
            <w:shd w:val="clear" w:color="auto" w:fill="auto"/>
          </w:tcPr>
          <w:p w:rsidRPr="00444D68" w:rsidR="00444D68" w:rsidP="000E2065" w:rsidRDefault="00444D68" w14:paraId="7A00134E" w14:textId="73BFD03F">
            <w:pPr>
              <w:rPr>
                <w:rFonts w:cstheme="minorHAnsi"/>
              </w:rPr>
            </w:pPr>
            <w:r w:rsidRPr="00444D68">
              <w:rPr>
                <w:rFonts w:cstheme="minorHAnsi"/>
              </w:rPr>
              <w:t xml:space="preserve">The </w:t>
            </w:r>
            <w:r>
              <w:rPr>
                <w:rFonts w:cstheme="minorHAnsi"/>
              </w:rPr>
              <w:t>P</w:t>
            </w:r>
            <w:r w:rsidRPr="00444D68">
              <w:rPr>
                <w:rFonts w:cstheme="minorHAnsi"/>
              </w:rPr>
              <w:t xml:space="preserve">rogramme </w:t>
            </w:r>
            <w:r>
              <w:rPr>
                <w:rFonts w:cstheme="minorHAnsi"/>
              </w:rPr>
              <w:t>L</w:t>
            </w:r>
            <w:r w:rsidRPr="00444D68">
              <w:rPr>
                <w:rFonts w:cstheme="minorHAnsi"/>
              </w:rPr>
              <w:t xml:space="preserve">ead confirms that </w:t>
            </w:r>
            <w:r>
              <w:rPr>
                <w:rFonts w:cstheme="minorHAnsi"/>
              </w:rPr>
              <w:t>any</w:t>
            </w:r>
            <w:r w:rsidRPr="00444D68">
              <w:rPr>
                <w:rFonts w:cstheme="minorHAnsi"/>
              </w:rPr>
              <w:t xml:space="preserve"> appointed External Examiner has satisfactorily carried out sampling of summative assessment, grading decisions and internal moderation/verification.</w:t>
            </w:r>
          </w:p>
        </w:tc>
        <w:tc>
          <w:tcPr>
            <w:tcW w:w="4144" w:type="dxa"/>
            <w:vMerge/>
            <w:shd w:val="clear" w:color="auto" w:fill="auto"/>
          </w:tcPr>
          <w:p w:rsidRPr="00444D68" w:rsidR="00444D68" w:rsidP="000E2065" w:rsidRDefault="00444D68" w14:paraId="6FF19D88" w14:textId="77777777">
            <w:pPr>
              <w:jc w:val="center"/>
              <w:rPr>
                <w:rFonts w:cstheme="minorHAnsi"/>
              </w:rPr>
            </w:pPr>
          </w:p>
        </w:tc>
      </w:tr>
      <w:tr w:rsidRPr="00444D68" w:rsidR="00444D68" w:rsidTr="00444D68" w14:paraId="629F93F9" w14:textId="77777777">
        <w:tc>
          <w:tcPr>
            <w:tcW w:w="4872" w:type="dxa"/>
            <w:shd w:val="clear" w:color="auto" w:fill="auto"/>
          </w:tcPr>
          <w:p w:rsidRPr="00444D68" w:rsidR="00444D68" w:rsidP="000E2065" w:rsidRDefault="00444D68" w14:paraId="4F5F616C" w14:textId="2A6CA7EB">
            <w:pPr>
              <w:rPr>
                <w:rFonts w:cstheme="minorHAnsi"/>
              </w:rPr>
            </w:pPr>
            <w:r w:rsidRPr="00444D68">
              <w:rPr>
                <w:rFonts w:cstheme="minorHAnsi"/>
              </w:rPr>
              <w:t xml:space="preserve">The </w:t>
            </w:r>
            <w:r>
              <w:rPr>
                <w:rFonts w:cstheme="minorHAnsi"/>
              </w:rPr>
              <w:t>P</w:t>
            </w:r>
            <w:r w:rsidRPr="00444D68">
              <w:rPr>
                <w:rFonts w:cstheme="minorHAnsi"/>
              </w:rPr>
              <w:t xml:space="preserve">rogramme </w:t>
            </w:r>
            <w:r>
              <w:rPr>
                <w:rFonts w:cstheme="minorHAnsi"/>
              </w:rPr>
              <w:t>L</w:t>
            </w:r>
            <w:r w:rsidRPr="00444D68">
              <w:rPr>
                <w:rFonts w:cstheme="minorHAnsi"/>
              </w:rPr>
              <w:t xml:space="preserve">ead submits all confirmed grades to the </w:t>
            </w:r>
            <w:r>
              <w:rPr>
                <w:rFonts w:cstheme="minorHAnsi"/>
              </w:rPr>
              <w:t>A</w:t>
            </w:r>
            <w:r w:rsidRPr="00444D68">
              <w:rPr>
                <w:rFonts w:cstheme="minorHAnsi"/>
              </w:rPr>
              <w:t xml:space="preserve">ssessment </w:t>
            </w:r>
            <w:r>
              <w:rPr>
                <w:rFonts w:cstheme="minorHAnsi"/>
              </w:rPr>
              <w:t>B</w:t>
            </w:r>
            <w:r w:rsidRPr="00444D68">
              <w:rPr>
                <w:rFonts w:cstheme="minorHAnsi"/>
              </w:rPr>
              <w:t>oard</w:t>
            </w:r>
            <w:r>
              <w:rPr>
                <w:rFonts w:cstheme="minorHAnsi"/>
              </w:rPr>
              <w:t>.</w:t>
            </w:r>
          </w:p>
        </w:tc>
        <w:tc>
          <w:tcPr>
            <w:tcW w:w="4144" w:type="dxa"/>
            <w:vMerge/>
            <w:shd w:val="clear" w:color="auto" w:fill="auto"/>
          </w:tcPr>
          <w:p w:rsidRPr="00444D68" w:rsidR="00444D68" w:rsidP="000E2065" w:rsidRDefault="00444D68" w14:paraId="19295B48" w14:textId="77777777">
            <w:pPr>
              <w:jc w:val="center"/>
              <w:rPr>
                <w:rFonts w:cstheme="minorHAnsi"/>
              </w:rPr>
            </w:pPr>
          </w:p>
        </w:tc>
      </w:tr>
      <w:tr w:rsidRPr="00444D68" w:rsidR="00444D68" w:rsidTr="00444D68" w14:paraId="2DE63EA3" w14:textId="77777777">
        <w:tc>
          <w:tcPr>
            <w:tcW w:w="4872" w:type="dxa"/>
            <w:shd w:val="clear" w:color="auto" w:fill="auto"/>
          </w:tcPr>
          <w:p w:rsidRPr="00444D68" w:rsidR="00444D68" w:rsidP="000E2065" w:rsidRDefault="00444D68" w14:paraId="1EFCA7DA" w14:textId="6A3FEC20">
            <w:pPr>
              <w:rPr>
                <w:rFonts w:cstheme="minorHAnsi"/>
              </w:rPr>
            </w:pPr>
            <w:r w:rsidRPr="00444D68">
              <w:rPr>
                <w:rFonts w:cstheme="minorHAnsi"/>
              </w:rPr>
              <w:t xml:space="preserve">The </w:t>
            </w:r>
            <w:r>
              <w:rPr>
                <w:rFonts w:cstheme="minorHAnsi"/>
              </w:rPr>
              <w:t>A</w:t>
            </w:r>
            <w:r w:rsidRPr="00444D68">
              <w:rPr>
                <w:rFonts w:cstheme="minorHAnsi"/>
              </w:rPr>
              <w:t xml:space="preserve">ssessment </w:t>
            </w:r>
            <w:r>
              <w:rPr>
                <w:rFonts w:cstheme="minorHAnsi"/>
              </w:rPr>
              <w:t>B</w:t>
            </w:r>
            <w:r w:rsidRPr="00444D68">
              <w:rPr>
                <w:rFonts w:cstheme="minorHAnsi"/>
              </w:rPr>
              <w:t>oard takes place to ratify final grades, exemptions and final outcomes / awards / progression.</w:t>
            </w:r>
          </w:p>
        </w:tc>
        <w:tc>
          <w:tcPr>
            <w:tcW w:w="4144" w:type="dxa"/>
            <w:shd w:val="clear" w:color="auto" w:fill="auto"/>
          </w:tcPr>
          <w:p w:rsidRPr="00444D68" w:rsidR="00444D68" w:rsidP="000E2065" w:rsidRDefault="00444D68" w14:paraId="5DC01B5A" w14:textId="77777777">
            <w:pPr>
              <w:jc w:val="center"/>
              <w:rPr>
                <w:rFonts w:cstheme="minorHAnsi"/>
              </w:rPr>
            </w:pPr>
            <w:r w:rsidRPr="00444D68">
              <w:rPr>
                <w:rFonts w:cstheme="minorHAnsi"/>
              </w:rPr>
              <w:t>Assessment board to take place before end of February (HN winter starts) and end of July (autumn starts).</w:t>
            </w:r>
          </w:p>
        </w:tc>
      </w:tr>
      <w:tr w:rsidRPr="00444D68" w:rsidR="00444D68" w:rsidTr="00444D68" w14:paraId="35C6F334" w14:textId="77777777">
        <w:tc>
          <w:tcPr>
            <w:tcW w:w="4872" w:type="dxa"/>
            <w:shd w:val="clear" w:color="auto" w:fill="auto"/>
          </w:tcPr>
          <w:p w:rsidRPr="00444D68" w:rsidR="00444D68" w:rsidP="000E2065" w:rsidRDefault="00444D68" w14:paraId="74FDBF1D" w14:textId="6B12576C">
            <w:pPr>
              <w:rPr>
                <w:rFonts w:cstheme="minorHAnsi"/>
              </w:rPr>
            </w:pPr>
            <w:r>
              <w:rPr>
                <w:rFonts w:cstheme="minorHAnsi"/>
              </w:rPr>
              <w:lastRenderedPageBreak/>
              <w:t xml:space="preserve">A </w:t>
            </w:r>
            <w:r w:rsidRPr="00444D68">
              <w:rPr>
                <w:rFonts w:cstheme="minorHAnsi"/>
              </w:rPr>
              <w:t xml:space="preserve"> transcript of grades and outcomes agreed at </w:t>
            </w:r>
            <w:r>
              <w:rPr>
                <w:rFonts w:cstheme="minorHAnsi"/>
              </w:rPr>
              <w:t>A</w:t>
            </w:r>
            <w:r w:rsidRPr="00444D68">
              <w:rPr>
                <w:rFonts w:cstheme="minorHAnsi"/>
              </w:rPr>
              <w:t xml:space="preserve">ssessment </w:t>
            </w:r>
            <w:r>
              <w:rPr>
                <w:rFonts w:cstheme="minorHAnsi"/>
              </w:rPr>
              <w:t>B</w:t>
            </w:r>
            <w:r w:rsidRPr="00444D68">
              <w:rPr>
                <w:rFonts w:cstheme="minorHAnsi"/>
              </w:rPr>
              <w:t xml:space="preserve">oard </w:t>
            </w:r>
            <w:r>
              <w:rPr>
                <w:rFonts w:cstheme="minorHAnsi"/>
              </w:rPr>
              <w:t>are shared with either the partner organisation exams department or the City College Administration Team</w:t>
            </w:r>
          </w:p>
        </w:tc>
        <w:tc>
          <w:tcPr>
            <w:tcW w:w="4144" w:type="dxa"/>
            <w:shd w:val="clear" w:color="auto" w:fill="auto"/>
          </w:tcPr>
          <w:p w:rsidRPr="00444D68" w:rsidR="00444D68" w:rsidP="000E2065" w:rsidRDefault="00444D68" w14:paraId="4599BBD0" w14:textId="77777777">
            <w:pPr>
              <w:jc w:val="center"/>
              <w:rPr>
                <w:rFonts w:cstheme="minorHAnsi"/>
              </w:rPr>
            </w:pPr>
            <w:r w:rsidRPr="00444D68">
              <w:rPr>
                <w:rFonts w:cstheme="minorHAnsi"/>
              </w:rPr>
              <w:t>Within 1 week following assessment board</w:t>
            </w:r>
          </w:p>
        </w:tc>
      </w:tr>
      <w:tr w:rsidRPr="00444D68" w:rsidR="00444D68" w:rsidTr="00444D68" w14:paraId="6220765E" w14:textId="77777777">
        <w:tc>
          <w:tcPr>
            <w:tcW w:w="4872" w:type="dxa"/>
            <w:shd w:val="clear" w:color="auto" w:fill="auto"/>
          </w:tcPr>
          <w:p w:rsidRPr="00444D68" w:rsidR="00444D68" w:rsidP="000E2065" w:rsidRDefault="00444D68" w14:paraId="2C6CE729" w14:textId="36B91036">
            <w:pPr>
              <w:rPr>
                <w:rFonts w:cstheme="minorHAnsi"/>
              </w:rPr>
            </w:pPr>
            <w:r>
              <w:rPr>
                <w:rFonts w:cstheme="minorHAnsi"/>
              </w:rPr>
              <w:t>The partner</w:t>
            </w:r>
            <w:r w:rsidRPr="00444D68">
              <w:rPr>
                <w:rFonts w:cstheme="minorHAnsi"/>
              </w:rPr>
              <w:t xml:space="preserve"> exams office </w:t>
            </w:r>
            <w:r>
              <w:rPr>
                <w:rFonts w:cstheme="minorHAnsi"/>
              </w:rPr>
              <w:t xml:space="preserve">or </w:t>
            </w:r>
            <w:r w:rsidR="003178CC">
              <w:rPr>
                <w:rFonts w:cstheme="minorHAnsi"/>
              </w:rPr>
              <w:t xml:space="preserve">the </w:t>
            </w:r>
            <w:r>
              <w:rPr>
                <w:rFonts w:cstheme="minorHAnsi"/>
              </w:rPr>
              <w:t xml:space="preserve">City College Administration Team </w:t>
            </w:r>
            <w:r w:rsidRPr="00444D68">
              <w:rPr>
                <w:rFonts w:cstheme="minorHAnsi"/>
              </w:rPr>
              <w:t>process grades electronically.</w:t>
            </w:r>
          </w:p>
        </w:tc>
        <w:tc>
          <w:tcPr>
            <w:tcW w:w="4144" w:type="dxa"/>
            <w:shd w:val="clear" w:color="auto" w:fill="auto"/>
          </w:tcPr>
          <w:p w:rsidRPr="00444D68" w:rsidR="00444D68" w:rsidP="000E2065" w:rsidRDefault="00444D68" w14:paraId="68ECDE7E" w14:textId="140269AC">
            <w:pPr>
              <w:jc w:val="center"/>
              <w:rPr>
                <w:rFonts w:cstheme="minorHAnsi"/>
              </w:rPr>
            </w:pPr>
            <w:r w:rsidRPr="00444D68">
              <w:rPr>
                <w:rFonts w:cstheme="minorHAnsi"/>
              </w:rPr>
              <w:t>Within 2 weeks of receipt of assessment board transcripts</w:t>
            </w:r>
            <w:r w:rsidRPr="00444D68">
              <w:rPr>
                <w:rFonts w:cstheme="minorHAnsi"/>
                <w:vanish/>
              </w:rPr>
              <w:t xml:space="preserve">HE </w:t>
            </w:r>
            <w:r w:rsidRPr="00444D68">
              <w:rPr>
                <w:rFonts w:cstheme="minorHAnsi"/>
              </w:rPr>
              <w:t>.</w:t>
            </w:r>
          </w:p>
        </w:tc>
      </w:tr>
      <w:tr w:rsidRPr="00444D68" w:rsidR="00444D68" w:rsidTr="00444D68" w14:paraId="6F0B93D5" w14:textId="77777777">
        <w:tc>
          <w:tcPr>
            <w:tcW w:w="4872" w:type="dxa"/>
            <w:shd w:val="clear" w:color="auto" w:fill="auto"/>
          </w:tcPr>
          <w:p w:rsidRPr="00444D68" w:rsidR="00444D68" w:rsidP="000E2065" w:rsidRDefault="003178CC" w14:paraId="1269D1E3" w14:textId="01A709C3">
            <w:pPr>
              <w:rPr>
                <w:rFonts w:cstheme="minorHAnsi"/>
              </w:rPr>
            </w:pPr>
            <w:r>
              <w:rPr>
                <w:rFonts w:cstheme="minorHAnsi"/>
              </w:rPr>
              <w:t>The partner organisation or awarding body</w:t>
            </w:r>
            <w:r w:rsidRPr="00444D68" w:rsidR="00444D68">
              <w:rPr>
                <w:rFonts w:cstheme="minorHAnsi"/>
              </w:rPr>
              <w:t xml:space="preserve"> confirm award and send certificate to the campus </w:t>
            </w:r>
            <w:r>
              <w:rPr>
                <w:rFonts w:cstheme="minorHAnsi"/>
              </w:rPr>
              <w:t xml:space="preserve">where </w:t>
            </w:r>
            <w:r w:rsidRPr="00444D68" w:rsidR="00444D68">
              <w:rPr>
                <w:rFonts w:cstheme="minorHAnsi"/>
              </w:rPr>
              <w:t>students are registered</w:t>
            </w:r>
          </w:p>
        </w:tc>
        <w:tc>
          <w:tcPr>
            <w:tcW w:w="4144" w:type="dxa"/>
            <w:shd w:val="clear" w:color="auto" w:fill="auto"/>
          </w:tcPr>
          <w:p w:rsidRPr="00444D68" w:rsidR="00444D68" w:rsidP="000E2065" w:rsidRDefault="00444D68" w14:paraId="00A5ADDC" w14:textId="08B513E1">
            <w:pPr>
              <w:jc w:val="center"/>
              <w:rPr>
                <w:rFonts w:cstheme="minorHAnsi"/>
              </w:rPr>
            </w:pPr>
            <w:r w:rsidRPr="00444D68">
              <w:rPr>
                <w:rFonts w:cstheme="minorHAnsi"/>
              </w:rPr>
              <w:t xml:space="preserve">This stage is beyond the control of </w:t>
            </w:r>
            <w:r w:rsidR="003178CC">
              <w:rPr>
                <w:rFonts w:cstheme="minorHAnsi"/>
              </w:rPr>
              <w:t xml:space="preserve">either City College or the partner organisation </w:t>
            </w:r>
          </w:p>
        </w:tc>
      </w:tr>
      <w:tr w:rsidRPr="00444D68" w:rsidR="00444D68" w:rsidTr="00444D68" w14:paraId="120BB773" w14:textId="77777777">
        <w:tc>
          <w:tcPr>
            <w:tcW w:w="4872" w:type="dxa"/>
            <w:shd w:val="clear" w:color="auto" w:fill="auto"/>
          </w:tcPr>
          <w:p w:rsidRPr="00444D68" w:rsidR="00444D68" w:rsidP="000E2065" w:rsidRDefault="003178CC" w14:paraId="2A333417" w14:textId="4172C87F">
            <w:pPr>
              <w:rPr>
                <w:rFonts w:cstheme="minorHAnsi"/>
              </w:rPr>
            </w:pPr>
            <w:r>
              <w:rPr>
                <w:rFonts w:cstheme="minorHAnsi"/>
              </w:rPr>
              <w:t>Certificates are issued to students</w:t>
            </w:r>
          </w:p>
        </w:tc>
        <w:tc>
          <w:tcPr>
            <w:tcW w:w="4144" w:type="dxa"/>
            <w:shd w:val="clear" w:color="auto" w:fill="auto"/>
          </w:tcPr>
          <w:p w:rsidRPr="00444D68" w:rsidR="00444D68" w:rsidP="000E2065" w:rsidRDefault="00444D68" w14:paraId="09620FFB" w14:textId="6B828BFF">
            <w:pPr>
              <w:jc w:val="center"/>
              <w:rPr>
                <w:rFonts w:cstheme="minorHAnsi"/>
              </w:rPr>
            </w:pPr>
            <w:r w:rsidRPr="00444D68">
              <w:rPr>
                <w:rFonts w:cstheme="minorHAnsi"/>
              </w:rPr>
              <w:t xml:space="preserve">Within 2 weeks of receipt of certificates </w:t>
            </w:r>
          </w:p>
        </w:tc>
      </w:tr>
    </w:tbl>
    <w:p w:rsidR="004A63A5" w:rsidP="00D826D3" w:rsidRDefault="004A63A5" w14:paraId="743AD68B" w14:textId="77777777">
      <w:pPr>
        <w:jc w:val="both"/>
      </w:pPr>
    </w:p>
    <w:p w:rsidRPr="00B12C64" w:rsidR="004A63A5" w:rsidP="00D826D3" w:rsidRDefault="00B12C64" w14:paraId="5A14FF2B" w14:textId="14AF1A4E">
      <w:pPr>
        <w:jc w:val="both"/>
        <w:rPr>
          <w:b/>
          <w:bCs/>
        </w:rPr>
      </w:pPr>
      <w:r w:rsidRPr="00B12C64">
        <w:rPr>
          <w:b/>
          <w:bCs/>
        </w:rPr>
        <w:t>Withdrawals and Cancellations</w:t>
      </w:r>
    </w:p>
    <w:p w:rsidR="00935537" w:rsidP="00D826D3" w:rsidRDefault="00B12C64" w14:paraId="1ECC644A" w14:textId="3A5D87D3">
      <w:pPr>
        <w:jc w:val="both"/>
      </w:pPr>
      <w:bookmarkStart w:name="_Hlk60922705" w:id="0"/>
      <w:r>
        <w:t xml:space="preserve">The Consumer Contracts (Information, Cancellation and Additional Charges) Regulations 2013 </w:t>
      </w:r>
      <w:bookmarkEnd w:id="0"/>
      <w:r w:rsidR="003178CC">
        <w:t>ensure</w:t>
      </w:r>
      <w:r>
        <w:t xml:space="preserve"> </w:t>
      </w:r>
      <w:r w:rsidR="003178CC">
        <w:t>students have</w:t>
      </w:r>
      <w:r>
        <w:t xml:space="preserve"> a 14-day cancellation period after the day on which the offer of a place is accepted.</w:t>
      </w:r>
      <w:r w:rsidR="003178CC">
        <w:t xml:space="preserve"> Students choosing to cancel do</w:t>
      </w:r>
      <w:r>
        <w:t xml:space="preserve"> not have to inform the </w:t>
      </w:r>
      <w:r w:rsidR="003178CC">
        <w:t>College</w:t>
      </w:r>
      <w:r>
        <w:t xml:space="preserve"> of their decision to cancel in writing.</w:t>
      </w:r>
      <w:r w:rsidR="003178CC">
        <w:t xml:space="preserve"> Students will be deemed to cancel by their non-attendance any time during that 14-day cancellation period. </w:t>
      </w:r>
      <w:r w:rsidR="00935537">
        <w:t xml:space="preserve">Where </w:t>
      </w:r>
      <w:r w:rsidR="003178CC">
        <w:t>students</w:t>
      </w:r>
      <w:r w:rsidR="00935537">
        <w:t xml:space="preserve"> have been accepted as a late applicant the cancellation period may overlap with the beginning of term</w:t>
      </w:r>
      <w:r w:rsidR="003178CC">
        <w:t>.</w:t>
      </w:r>
    </w:p>
    <w:p w:rsidR="003178CC" w:rsidP="00D826D3" w:rsidRDefault="003178CC" w14:paraId="31307914" w14:textId="02BC33F7">
      <w:pPr>
        <w:jc w:val="both"/>
      </w:pPr>
      <w:r>
        <w:t xml:space="preserve">The term ‘withdrawal’ is used when a student </w:t>
      </w:r>
      <w:r w:rsidR="00E05173">
        <w:t>either chooses to or by way of omission, such as non-attendance, leave their programme</w:t>
      </w:r>
      <w:r>
        <w:t xml:space="preserve">. Students considering </w:t>
      </w:r>
      <w:r w:rsidR="00E05173">
        <w:t>withdrawing</w:t>
      </w:r>
      <w:r>
        <w:t xml:space="preserve"> are advised to discuss their circumstances with </w:t>
      </w:r>
      <w:r w:rsidR="00E05173">
        <w:t xml:space="preserve">a member of City College staff as soon as is reasonably possibly. Students withdrawing are likely to be subject to some or all of their </w:t>
      </w:r>
      <w:r w:rsidR="00D67055">
        <w:t>programme</w:t>
      </w:r>
      <w:r w:rsidR="00E05173">
        <w:t xml:space="preserve"> fees.</w:t>
      </w:r>
    </w:p>
    <w:p w:rsidR="003178CC" w:rsidP="00D826D3" w:rsidRDefault="003178CC" w14:paraId="4EEB593A" w14:textId="66A8833C">
      <w:pPr>
        <w:jc w:val="both"/>
      </w:pPr>
      <w:r w:rsidRPr="003178CC">
        <w:t xml:space="preserve">The date of withdrawal is deemed to be the date on which </w:t>
      </w:r>
      <w:r w:rsidR="00E05173">
        <w:t>students notify the College</w:t>
      </w:r>
      <w:r w:rsidRPr="003178CC">
        <w:t xml:space="preserve"> of an Intention to withdraw, or the date on which </w:t>
      </w:r>
      <w:r w:rsidR="00E05173">
        <w:t>students last attended a learning activity. The Administration Team will record the student withdrawal on the Student Management System within 5 working days. In the event the student is registered with either a partner organisation or awarding body, the College will send written notification of the withdrawal within 10 working days.</w:t>
      </w:r>
    </w:p>
    <w:p w:rsidR="00935537" w:rsidP="00D826D3" w:rsidRDefault="00935537" w14:paraId="3425EBB4" w14:textId="21206169">
      <w:pPr>
        <w:jc w:val="both"/>
      </w:pPr>
      <w:r>
        <w:t xml:space="preserve">In the event that </w:t>
      </w:r>
      <w:r w:rsidR="00E05173">
        <w:t>the College is</w:t>
      </w:r>
      <w:r>
        <w:t xml:space="preserve"> notified </w:t>
      </w:r>
      <w:r w:rsidR="00E05173">
        <w:t>of the death of a student, the College will</w:t>
      </w:r>
      <w:r>
        <w:t xml:space="preserve"> follow </w:t>
      </w:r>
      <w:r w:rsidR="00E05173">
        <w:t>the withdrawal process to ensure the student is</w:t>
      </w:r>
      <w:r>
        <w:t xml:space="preserve"> withdrawn and the </w:t>
      </w:r>
      <w:r w:rsidR="00E05173">
        <w:t>S</w:t>
      </w:r>
      <w:r>
        <w:t xml:space="preserve">tudent </w:t>
      </w:r>
      <w:r w:rsidR="00E05173">
        <w:t>Management</w:t>
      </w:r>
      <w:r>
        <w:t xml:space="preserve"> </w:t>
      </w:r>
      <w:r w:rsidR="00E05173">
        <w:t>S</w:t>
      </w:r>
      <w:r>
        <w:t>ystem as quickly as possible. Key stakeholders will be notified (as appropriate) to try and ensure that no further communications are sent.</w:t>
      </w:r>
    </w:p>
    <w:p w:rsidRPr="004C1F1C" w:rsidR="004C1F1C" w:rsidP="004C1F1C" w:rsidRDefault="004C1F1C" w14:paraId="4172FAD7" w14:textId="77777777">
      <w:pPr>
        <w:spacing w:after="0" w:line="240" w:lineRule="auto"/>
        <w:ind w:right="240"/>
        <w:textAlignment w:val="baseline"/>
        <w:rPr>
          <w:rFonts w:ascii="Times New Roman" w:hAnsi="Times New Roman" w:eastAsia="Times New Roman" w:cs="Times New Roman"/>
          <w:sz w:val="24"/>
          <w:szCs w:val="24"/>
          <w:lang w:eastAsia="en-GB"/>
        </w:rPr>
      </w:pPr>
      <w:r w:rsidRPr="004C1F1C">
        <w:rPr>
          <w:rFonts w:ascii="Calibri" w:hAnsi="Calibri" w:eastAsia="Times New Roman" w:cs="Calibri"/>
          <w:b/>
          <w:bCs/>
          <w:lang w:eastAsia="en-GB"/>
        </w:rPr>
        <w:t>Related policies</w:t>
      </w:r>
      <w:r w:rsidRPr="004C1F1C">
        <w:rPr>
          <w:rFonts w:ascii="Calibri" w:hAnsi="Calibri" w:eastAsia="Times New Roman" w:cs="Calibri"/>
          <w:lang w:eastAsia="en-GB"/>
        </w:rPr>
        <w:t>   </w:t>
      </w:r>
    </w:p>
    <w:p w:rsidRPr="004C1F1C" w:rsidR="004C1F1C" w:rsidP="004C1F1C" w:rsidRDefault="004C1F1C" w14:paraId="730DEDC2" w14:textId="77777777">
      <w:pPr>
        <w:spacing w:after="0" w:line="240" w:lineRule="auto"/>
        <w:ind w:right="240"/>
        <w:textAlignment w:val="baseline"/>
        <w:rPr>
          <w:rFonts w:ascii="Times New Roman" w:hAnsi="Times New Roman" w:eastAsia="Times New Roman" w:cs="Times New Roman"/>
          <w:sz w:val="24"/>
          <w:szCs w:val="24"/>
          <w:lang w:eastAsia="en-GB"/>
        </w:rPr>
      </w:pPr>
      <w:r w:rsidRPr="004C1F1C">
        <w:rPr>
          <w:rFonts w:ascii="Calibri" w:hAnsi="Calibri" w:eastAsia="Times New Roman" w:cs="Calibri"/>
          <w:lang w:eastAsia="en-GB"/>
        </w:rPr>
        <w:t> </w:t>
      </w:r>
    </w:p>
    <w:p w:rsidRPr="004C1F1C" w:rsidR="004C1F1C" w:rsidP="004C1F1C" w:rsidRDefault="004C1F1C" w14:paraId="78671BA4" w14:textId="77777777">
      <w:pPr>
        <w:spacing w:after="0" w:line="240" w:lineRule="auto"/>
        <w:ind w:right="240"/>
        <w:textAlignment w:val="baseline"/>
        <w:rPr>
          <w:rFonts w:ascii="Times New Roman" w:hAnsi="Times New Roman" w:eastAsia="Times New Roman" w:cs="Times New Roman"/>
          <w:sz w:val="24"/>
          <w:szCs w:val="24"/>
          <w:lang w:eastAsia="en-GB"/>
        </w:rPr>
      </w:pPr>
      <w:r w:rsidRPr="004C1F1C">
        <w:rPr>
          <w:rFonts w:ascii="Calibri" w:hAnsi="Calibri" w:eastAsia="Times New Roman" w:cs="Calibri"/>
          <w:lang w:eastAsia="en-GB"/>
        </w:rPr>
        <w:t>This policy needs to be read in conjunction with other policies including:  </w:t>
      </w:r>
    </w:p>
    <w:p w:rsidR="004C1F1C" w:rsidP="004C1F1C" w:rsidRDefault="004C1F1C" w14:paraId="428B3F5E" w14:textId="77777777">
      <w:pPr>
        <w:spacing w:after="0" w:line="240" w:lineRule="auto"/>
        <w:ind w:right="240"/>
        <w:textAlignment w:val="baseline"/>
        <w:rPr>
          <w:rFonts w:ascii="Times New Roman" w:hAnsi="Times New Roman" w:eastAsia="Times New Roman" w:cs="Times New Roman"/>
          <w:sz w:val="24"/>
          <w:szCs w:val="24"/>
          <w:lang w:eastAsia="en-GB"/>
        </w:rPr>
      </w:pPr>
      <w:r w:rsidRPr="004C1F1C">
        <w:rPr>
          <w:rFonts w:ascii="Calibri" w:hAnsi="Calibri" w:eastAsia="Times New Roman" w:cs="Calibri"/>
          <w:lang w:eastAsia="en-GB"/>
        </w:rPr>
        <w:t>  </w:t>
      </w:r>
    </w:p>
    <w:p w:rsidRPr="00D67055" w:rsidR="004C1F1C" w:rsidP="004C1F1C" w:rsidRDefault="004C1F1C" w14:paraId="580DA9D5" w14:textId="5A9B1F1C">
      <w:pPr>
        <w:pStyle w:val="ListParagraph"/>
        <w:numPr>
          <w:ilvl w:val="0"/>
          <w:numId w:val="6"/>
        </w:numPr>
        <w:spacing w:after="0" w:line="240" w:lineRule="auto"/>
        <w:ind w:right="240"/>
        <w:textAlignment w:val="baseline"/>
        <w:rPr>
          <w:rFonts w:ascii="Times New Roman" w:hAnsi="Times New Roman" w:eastAsia="Times New Roman" w:cs="Times New Roman"/>
          <w:sz w:val="24"/>
          <w:szCs w:val="24"/>
          <w:lang w:eastAsia="en-GB"/>
        </w:rPr>
      </w:pPr>
      <w:r w:rsidRPr="004C1F1C">
        <w:rPr>
          <w:rFonts w:ascii="Calibri" w:hAnsi="Calibri" w:eastAsia="Times New Roman" w:cs="Calibri"/>
          <w:lang w:eastAsia="en-GB"/>
        </w:rPr>
        <w:t>Safeguarding Policy  </w:t>
      </w:r>
    </w:p>
    <w:p w:rsidRPr="00D67055" w:rsidR="00D67055" w:rsidP="004C1F1C" w:rsidRDefault="00D67055" w14:paraId="0C0554EF" w14:textId="253CB848">
      <w:pPr>
        <w:pStyle w:val="ListParagraph"/>
        <w:numPr>
          <w:ilvl w:val="0"/>
          <w:numId w:val="6"/>
        </w:numPr>
        <w:spacing w:after="0" w:line="240" w:lineRule="auto"/>
        <w:ind w:right="240"/>
        <w:textAlignment w:val="baseline"/>
        <w:rPr>
          <w:rFonts w:ascii="Times New Roman" w:hAnsi="Times New Roman" w:eastAsia="Times New Roman" w:cs="Times New Roman"/>
          <w:sz w:val="24"/>
          <w:szCs w:val="24"/>
          <w:lang w:eastAsia="en-GB"/>
        </w:rPr>
      </w:pPr>
      <w:r>
        <w:rPr>
          <w:rFonts w:ascii="Calibri" w:hAnsi="Calibri" w:eastAsia="Times New Roman" w:cs="Calibri"/>
          <w:lang w:eastAsia="en-GB"/>
        </w:rPr>
        <w:t>Prevent Strategy</w:t>
      </w:r>
    </w:p>
    <w:p w:rsidRPr="004C1F1C" w:rsidR="00D67055" w:rsidP="004C1F1C" w:rsidRDefault="00D67055" w14:paraId="25766EE3" w14:textId="2C751323">
      <w:pPr>
        <w:pStyle w:val="ListParagraph"/>
        <w:numPr>
          <w:ilvl w:val="0"/>
          <w:numId w:val="6"/>
        </w:numPr>
        <w:spacing w:after="0" w:line="240" w:lineRule="auto"/>
        <w:ind w:right="240"/>
        <w:textAlignment w:val="baseline"/>
        <w:rPr>
          <w:rFonts w:ascii="Times New Roman" w:hAnsi="Times New Roman" w:eastAsia="Times New Roman" w:cs="Times New Roman"/>
          <w:sz w:val="24"/>
          <w:szCs w:val="24"/>
          <w:lang w:eastAsia="en-GB"/>
        </w:rPr>
      </w:pPr>
      <w:r>
        <w:rPr>
          <w:rFonts w:ascii="Calibri" w:hAnsi="Calibri" w:eastAsia="Times New Roman" w:cs="Calibri"/>
          <w:lang w:eastAsia="en-GB"/>
        </w:rPr>
        <w:t>Governance Code</w:t>
      </w:r>
    </w:p>
    <w:p w:rsidRPr="004C1F1C" w:rsidR="004C1F1C" w:rsidP="004C1F1C" w:rsidRDefault="004C1F1C" w14:paraId="1F39445F" w14:textId="77777777">
      <w:pPr>
        <w:pStyle w:val="ListParagraph"/>
        <w:numPr>
          <w:ilvl w:val="0"/>
          <w:numId w:val="6"/>
        </w:numPr>
        <w:spacing w:after="0" w:line="240" w:lineRule="auto"/>
        <w:textAlignment w:val="baseline"/>
        <w:rPr>
          <w:rFonts w:ascii="Times New Roman" w:hAnsi="Times New Roman" w:eastAsia="Times New Roman" w:cs="Times New Roman"/>
          <w:sz w:val="24"/>
          <w:szCs w:val="24"/>
          <w:lang w:eastAsia="en-GB"/>
        </w:rPr>
      </w:pPr>
      <w:r w:rsidRPr="004C1F1C">
        <w:rPr>
          <w:rFonts w:ascii="Calibri" w:hAnsi="Calibri" w:eastAsia="Times New Roman" w:cs="Calibri"/>
          <w:lang w:eastAsia="en-GB"/>
        </w:rPr>
        <w:t>Induction Policy </w:t>
      </w:r>
    </w:p>
    <w:p w:rsidRPr="004C1F1C" w:rsidR="004C1F1C" w:rsidP="004C1F1C" w:rsidRDefault="004C1F1C" w14:paraId="7300AAE1" w14:textId="77777777">
      <w:pPr>
        <w:pStyle w:val="ListParagraph"/>
        <w:numPr>
          <w:ilvl w:val="0"/>
          <w:numId w:val="6"/>
        </w:numPr>
        <w:spacing w:after="0" w:line="240" w:lineRule="auto"/>
        <w:textAlignment w:val="baseline"/>
        <w:rPr>
          <w:rFonts w:ascii="Times New Roman" w:hAnsi="Times New Roman" w:eastAsia="Times New Roman" w:cs="Times New Roman"/>
          <w:sz w:val="24"/>
          <w:szCs w:val="24"/>
          <w:lang w:eastAsia="en-GB"/>
        </w:rPr>
      </w:pPr>
      <w:r w:rsidRPr="004C1F1C">
        <w:rPr>
          <w:rFonts w:ascii="Calibri" w:hAnsi="Calibri" w:eastAsia="Times New Roman" w:cs="Calibri"/>
          <w:lang w:eastAsia="en-GB"/>
        </w:rPr>
        <w:t>Health and Safety Policy  </w:t>
      </w:r>
    </w:p>
    <w:p w:rsidRPr="004C1F1C" w:rsidR="004C1F1C" w:rsidP="004C1F1C" w:rsidRDefault="004C1F1C" w14:paraId="7BA866AE" w14:textId="0B876BE1">
      <w:pPr>
        <w:pStyle w:val="ListParagraph"/>
        <w:numPr>
          <w:ilvl w:val="0"/>
          <w:numId w:val="6"/>
        </w:numPr>
        <w:spacing w:after="0" w:line="240" w:lineRule="auto"/>
        <w:textAlignment w:val="baseline"/>
        <w:rPr>
          <w:rFonts w:ascii="Times New Roman" w:hAnsi="Times New Roman" w:eastAsia="Times New Roman" w:cs="Times New Roman"/>
          <w:sz w:val="24"/>
          <w:szCs w:val="24"/>
          <w:lang w:eastAsia="en-GB"/>
        </w:rPr>
      </w:pPr>
      <w:r w:rsidRPr="004C1F1C">
        <w:rPr>
          <w:rFonts w:ascii="Calibri" w:hAnsi="Calibri" w:eastAsia="Times New Roman" w:cs="Calibri"/>
          <w:lang w:eastAsia="en-GB"/>
        </w:rPr>
        <w:t xml:space="preserve">Equality </w:t>
      </w:r>
      <w:r w:rsidR="00D67055">
        <w:rPr>
          <w:rFonts w:ascii="Calibri" w:hAnsi="Calibri" w:eastAsia="Times New Roman" w:cs="Calibri"/>
          <w:lang w:eastAsia="en-GB"/>
        </w:rPr>
        <w:t xml:space="preserve">and Diversity </w:t>
      </w:r>
      <w:r w:rsidRPr="004C1F1C">
        <w:rPr>
          <w:rFonts w:ascii="Calibri" w:hAnsi="Calibri" w:eastAsia="Times New Roman" w:cs="Calibri"/>
          <w:lang w:eastAsia="en-GB"/>
        </w:rPr>
        <w:t>Policy  </w:t>
      </w:r>
    </w:p>
    <w:p w:rsidRPr="004C1F1C" w:rsidR="004C1F1C" w:rsidP="004C1F1C" w:rsidRDefault="004C1F1C" w14:paraId="0678259D" w14:textId="77777777">
      <w:pPr>
        <w:pStyle w:val="ListParagraph"/>
        <w:numPr>
          <w:ilvl w:val="0"/>
          <w:numId w:val="6"/>
        </w:numPr>
        <w:spacing w:after="0" w:line="240" w:lineRule="auto"/>
        <w:textAlignment w:val="baseline"/>
        <w:rPr>
          <w:rFonts w:ascii="Times New Roman" w:hAnsi="Times New Roman" w:eastAsia="Times New Roman" w:cs="Times New Roman"/>
          <w:sz w:val="24"/>
          <w:szCs w:val="24"/>
          <w:lang w:eastAsia="en-GB"/>
        </w:rPr>
      </w:pPr>
      <w:r w:rsidRPr="004C1F1C">
        <w:rPr>
          <w:rFonts w:ascii="Calibri" w:hAnsi="Calibri" w:eastAsia="Times New Roman" w:cs="Calibri"/>
          <w:lang w:eastAsia="en-GB"/>
        </w:rPr>
        <w:t>Safe Recruitment Policy  </w:t>
      </w:r>
    </w:p>
    <w:p w:rsidRPr="004C1F1C" w:rsidR="004C1F1C" w:rsidP="004C1F1C" w:rsidRDefault="004C1F1C" w14:paraId="4A47AA03" w14:textId="77777777">
      <w:pPr>
        <w:pStyle w:val="ListParagraph"/>
        <w:numPr>
          <w:ilvl w:val="0"/>
          <w:numId w:val="6"/>
        </w:numPr>
        <w:spacing w:after="0" w:line="240" w:lineRule="auto"/>
        <w:textAlignment w:val="baseline"/>
        <w:rPr>
          <w:rFonts w:ascii="Times New Roman" w:hAnsi="Times New Roman" w:eastAsia="Times New Roman" w:cs="Times New Roman"/>
          <w:sz w:val="24"/>
          <w:szCs w:val="24"/>
          <w:lang w:eastAsia="en-GB"/>
        </w:rPr>
      </w:pPr>
      <w:r w:rsidRPr="004C1F1C">
        <w:rPr>
          <w:rFonts w:ascii="Calibri" w:hAnsi="Calibri" w:eastAsia="Times New Roman" w:cs="Calibri"/>
          <w:lang w:eastAsia="en-GB"/>
        </w:rPr>
        <w:t>Appeals Policy and Procedure </w:t>
      </w:r>
    </w:p>
    <w:p w:rsidRPr="004C1F1C" w:rsidR="004C1F1C" w:rsidP="004C1F1C" w:rsidRDefault="004C1F1C" w14:paraId="3A5214D9" w14:textId="61083EAF">
      <w:pPr>
        <w:pStyle w:val="ListParagraph"/>
        <w:numPr>
          <w:ilvl w:val="0"/>
          <w:numId w:val="6"/>
        </w:numPr>
        <w:spacing w:after="0" w:line="240" w:lineRule="auto"/>
        <w:textAlignment w:val="baseline"/>
        <w:rPr>
          <w:rFonts w:ascii="Times New Roman" w:hAnsi="Times New Roman" w:eastAsia="Times New Roman" w:cs="Times New Roman"/>
          <w:sz w:val="24"/>
          <w:szCs w:val="24"/>
          <w:lang w:eastAsia="en-GB"/>
        </w:rPr>
      </w:pPr>
      <w:r w:rsidRPr="004C1F1C">
        <w:rPr>
          <w:rFonts w:ascii="Calibri" w:hAnsi="Calibri" w:eastAsia="Times New Roman" w:cs="Calibri"/>
          <w:lang w:eastAsia="en-GB"/>
        </w:rPr>
        <w:t>Complaints Policy </w:t>
      </w:r>
      <w:r w:rsidR="00D67055">
        <w:rPr>
          <w:rFonts w:ascii="Calibri" w:hAnsi="Calibri" w:eastAsia="Times New Roman" w:cs="Calibri"/>
          <w:lang w:eastAsia="en-GB"/>
        </w:rPr>
        <w:t>and Procedure</w:t>
      </w:r>
    </w:p>
    <w:p w:rsidRPr="004C1F1C" w:rsidR="004C1F1C" w:rsidP="004C1F1C" w:rsidRDefault="004C1F1C" w14:paraId="79F6A7EA" w14:textId="77777777">
      <w:pPr>
        <w:pStyle w:val="ListParagraph"/>
        <w:numPr>
          <w:ilvl w:val="0"/>
          <w:numId w:val="6"/>
        </w:numPr>
        <w:spacing w:after="0" w:line="240" w:lineRule="auto"/>
        <w:textAlignment w:val="baseline"/>
        <w:rPr>
          <w:rFonts w:ascii="Times New Roman" w:hAnsi="Times New Roman" w:eastAsia="Times New Roman" w:cs="Times New Roman"/>
          <w:sz w:val="24"/>
          <w:szCs w:val="24"/>
          <w:lang w:eastAsia="en-GB"/>
        </w:rPr>
      </w:pPr>
      <w:r w:rsidRPr="004C1F1C">
        <w:rPr>
          <w:rFonts w:ascii="Calibri" w:hAnsi="Calibri" w:eastAsia="Times New Roman" w:cs="Calibri"/>
          <w:lang w:eastAsia="en-GB"/>
        </w:rPr>
        <w:t>Quality Assurance and Delivery Policy </w:t>
      </w:r>
    </w:p>
    <w:p w:rsidRPr="004C1F1C" w:rsidR="004C1F1C" w:rsidP="004C1F1C" w:rsidRDefault="004C1F1C" w14:paraId="0694A91B" w14:textId="77777777">
      <w:pPr>
        <w:pStyle w:val="ListParagraph"/>
        <w:numPr>
          <w:ilvl w:val="0"/>
          <w:numId w:val="6"/>
        </w:numPr>
        <w:spacing w:after="0" w:line="240" w:lineRule="auto"/>
        <w:textAlignment w:val="baseline"/>
        <w:rPr>
          <w:rFonts w:ascii="Times New Roman" w:hAnsi="Times New Roman" w:eastAsia="Times New Roman" w:cs="Times New Roman"/>
          <w:sz w:val="24"/>
          <w:szCs w:val="24"/>
          <w:lang w:eastAsia="en-GB"/>
        </w:rPr>
      </w:pPr>
      <w:r w:rsidRPr="004C1F1C">
        <w:rPr>
          <w:rFonts w:ascii="Calibri" w:hAnsi="Calibri" w:eastAsia="Times New Roman" w:cs="Calibri"/>
          <w:lang w:eastAsia="en-GB"/>
        </w:rPr>
        <w:lastRenderedPageBreak/>
        <w:t>Information, Advice and Guidance Policy </w:t>
      </w:r>
    </w:p>
    <w:p w:rsidRPr="004C1F1C" w:rsidR="004C1F1C" w:rsidP="004C1F1C" w:rsidRDefault="004C1F1C" w14:paraId="4854644B" w14:textId="77777777">
      <w:pPr>
        <w:pStyle w:val="ListParagraph"/>
        <w:numPr>
          <w:ilvl w:val="0"/>
          <w:numId w:val="6"/>
        </w:numPr>
        <w:spacing w:after="0" w:line="240" w:lineRule="auto"/>
        <w:textAlignment w:val="baseline"/>
        <w:rPr>
          <w:rFonts w:ascii="Times New Roman" w:hAnsi="Times New Roman" w:eastAsia="Times New Roman" w:cs="Times New Roman"/>
          <w:sz w:val="24"/>
          <w:szCs w:val="24"/>
          <w:lang w:eastAsia="en-GB"/>
        </w:rPr>
      </w:pPr>
      <w:r w:rsidRPr="004C1F1C">
        <w:rPr>
          <w:rFonts w:ascii="Calibri" w:hAnsi="Calibri" w:eastAsia="Times New Roman" w:cs="Calibri"/>
          <w:lang w:eastAsia="en-GB"/>
        </w:rPr>
        <w:t>Fitness to Study Policy</w:t>
      </w:r>
    </w:p>
    <w:p w:rsidRPr="00DC68DF" w:rsidR="004C1F1C" w:rsidP="004C1F1C" w:rsidRDefault="004C1F1C" w14:paraId="10283645" w14:textId="034700EB">
      <w:pPr>
        <w:pStyle w:val="ListParagraph"/>
        <w:numPr>
          <w:ilvl w:val="0"/>
          <w:numId w:val="6"/>
        </w:numPr>
        <w:spacing w:after="0" w:line="240" w:lineRule="auto"/>
        <w:textAlignment w:val="baseline"/>
        <w:rPr>
          <w:rFonts w:ascii="Times New Roman" w:hAnsi="Times New Roman" w:eastAsia="Times New Roman" w:cs="Times New Roman"/>
          <w:sz w:val="24"/>
          <w:szCs w:val="24"/>
          <w:lang w:eastAsia="en-GB"/>
        </w:rPr>
      </w:pPr>
      <w:r w:rsidRPr="004C1F1C">
        <w:rPr>
          <w:rFonts w:ascii="Calibri" w:hAnsi="Calibri" w:eastAsia="Times New Roman" w:cs="Calibri"/>
          <w:lang w:eastAsia="en-GB"/>
        </w:rPr>
        <w:t>Fitness to Practice Policy </w:t>
      </w:r>
    </w:p>
    <w:p w:rsidRPr="004C1F1C" w:rsidR="00DC68DF" w:rsidP="004C1F1C" w:rsidRDefault="00DC68DF" w14:paraId="55FADF62" w14:textId="6371DA78">
      <w:pPr>
        <w:pStyle w:val="ListParagraph"/>
        <w:numPr>
          <w:ilvl w:val="0"/>
          <w:numId w:val="6"/>
        </w:numPr>
        <w:spacing w:after="0" w:line="240" w:lineRule="auto"/>
        <w:textAlignment w:val="baseline"/>
        <w:rPr>
          <w:rFonts w:ascii="Times New Roman" w:hAnsi="Times New Roman" w:eastAsia="Times New Roman" w:cs="Times New Roman"/>
          <w:sz w:val="24"/>
          <w:szCs w:val="24"/>
          <w:lang w:eastAsia="en-GB"/>
        </w:rPr>
      </w:pPr>
      <w:r>
        <w:rPr>
          <w:rFonts w:ascii="Calibri" w:hAnsi="Calibri" w:eastAsia="Times New Roman" w:cs="Calibri"/>
          <w:lang w:eastAsia="en-GB"/>
        </w:rPr>
        <w:t>Recruitment and Admissions Policy</w:t>
      </w:r>
    </w:p>
    <w:p w:rsidR="004C1F1C" w:rsidP="00D826D3" w:rsidRDefault="004C1F1C" w14:paraId="7245B310" w14:textId="77777777">
      <w:pPr>
        <w:jc w:val="both"/>
      </w:pPr>
    </w:p>
    <w:sectPr w:rsidR="004C1F1C">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AE5D15"/>
    <w:multiLevelType w:val="multilevel"/>
    <w:tmpl w:val="83E463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48CF7989"/>
    <w:multiLevelType w:val="multilevel"/>
    <w:tmpl w:val="7C30DD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565D795C"/>
    <w:multiLevelType w:val="multilevel"/>
    <w:tmpl w:val="447CCD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69750B4B"/>
    <w:multiLevelType w:val="multilevel"/>
    <w:tmpl w:val="DC2400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74604D8D"/>
    <w:multiLevelType w:val="multilevel"/>
    <w:tmpl w:val="CFFA2FC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7FCF01C1"/>
    <w:multiLevelType w:val="multilevel"/>
    <w:tmpl w:val="D716EA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3A5"/>
    <w:rsid w:val="00174F9E"/>
    <w:rsid w:val="0020012A"/>
    <w:rsid w:val="003178CC"/>
    <w:rsid w:val="00422D89"/>
    <w:rsid w:val="00444D68"/>
    <w:rsid w:val="004A0F9C"/>
    <w:rsid w:val="004A63A5"/>
    <w:rsid w:val="004C1F1C"/>
    <w:rsid w:val="005F1987"/>
    <w:rsid w:val="00733BBB"/>
    <w:rsid w:val="00935537"/>
    <w:rsid w:val="009D737F"/>
    <w:rsid w:val="00A5643C"/>
    <w:rsid w:val="00B12C64"/>
    <w:rsid w:val="00C14DC1"/>
    <w:rsid w:val="00C5430E"/>
    <w:rsid w:val="00D67055"/>
    <w:rsid w:val="00D826D3"/>
    <w:rsid w:val="00DC68DF"/>
    <w:rsid w:val="00E05173"/>
    <w:rsid w:val="00F258AC"/>
    <w:rsid w:val="00F64493"/>
    <w:rsid w:val="00FF54D5"/>
    <w:rsid w:val="3CD6B621"/>
    <w:rsid w:val="6CE1A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44B67"/>
  <w15:chartTrackingRefBased/>
  <w15:docId w15:val="{EDCA8CA7-36F0-4171-BC49-2C42DF116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next w:val="Normal"/>
    <w:link w:val="Heading1Char"/>
    <w:uiPriority w:val="9"/>
    <w:unhideWhenUsed/>
    <w:qFormat/>
    <w:rsid w:val="00FF54D5"/>
    <w:pPr>
      <w:keepNext/>
      <w:keepLines/>
      <w:spacing w:after="0"/>
      <w:ind w:left="531" w:hanging="10"/>
      <w:outlineLvl w:val="0"/>
    </w:pPr>
    <w:rPr>
      <w:rFonts w:ascii="Calibri" w:hAnsi="Calibri" w:eastAsia="Calibri" w:cs="Calibri"/>
      <w:b/>
      <w:color w:val="000000"/>
      <w:sz w:val="32"/>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FF54D5"/>
    <w:rPr>
      <w:rFonts w:ascii="Calibri" w:hAnsi="Calibri" w:eastAsia="Calibri" w:cs="Calibri"/>
      <w:b/>
      <w:color w:val="000000"/>
      <w:sz w:val="32"/>
      <w:lang w:eastAsia="en-GB"/>
    </w:rPr>
  </w:style>
  <w:style w:type="paragraph" w:styleId="paragraph" w:customStyle="1">
    <w:name w:val="paragraph"/>
    <w:basedOn w:val="Normal"/>
    <w:rsid w:val="00B12C64"/>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B12C64"/>
  </w:style>
  <w:style w:type="character" w:styleId="eop" w:customStyle="1">
    <w:name w:val="eop"/>
    <w:basedOn w:val="DefaultParagraphFont"/>
    <w:rsid w:val="00B12C64"/>
  </w:style>
  <w:style w:type="table" w:styleId="TableGrid">
    <w:name w:val="Table Grid"/>
    <w:basedOn w:val="TableNormal"/>
    <w:uiPriority w:val="39"/>
    <w:rsid w:val="00444D6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4C1F1C"/>
    <w:pPr>
      <w:ind w:left="720"/>
      <w:contextualSpacing/>
    </w:pPr>
  </w:style>
  <w:style w:type="paragraph" w:styleId="NoSpacing">
    <w:name w:val="No Spacing"/>
    <w:uiPriority w:val="1"/>
    <w:qFormat/>
    <w:rsid w:val="00D67055"/>
    <w:pPr>
      <w:suppressAutoHyphens/>
      <w:autoSpaceDN w:val="0"/>
      <w:spacing w:after="0" w:line="240" w:lineRule="auto"/>
      <w:ind w:left="10" w:hanging="10"/>
      <w:jc w:val="both"/>
      <w:textAlignment w:val="baseline"/>
    </w:pPr>
    <w:rPr>
      <w:rFonts w:ascii="Calibri" w:hAnsi="Calibri" w:eastAsia="Calibri" w:cs="Calibri"/>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733245">
      <w:bodyDiv w:val="1"/>
      <w:marLeft w:val="0"/>
      <w:marRight w:val="0"/>
      <w:marTop w:val="0"/>
      <w:marBottom w:val="0"/>
      <w:divBdr>
        <w:top w:val="none" w:sz="0" w:space="0" w:color="auto"/>
        <w:left w:val="none" w:sz="0" w:space="0" w:color="auto"/>
        <w:bottom w:val="none" w:sz="0" w:space="0" w:color="auto"/>
        <w:right w:val="none" w:sz="0" w:space="0" w:color="auto"/>
      </w:divBdr>
      <w:divsChild>
        <w:div w:id="1625698573">
          <w:marLeft w:val="0"/>
          <w:marRight w:val="0"/>
          <w:marTop w:val="0"/>
          <w:marBottom w:val="0"/>
          <w:divBdr>
            <w:top w:val="none" w:sz="0" w:space="0" w:color="auto"/>
            <w:left w:val="none" w:sz="0" w:space="0" w:color="auto"/>
            <w:bottom w:val="none" w:sz="0" w:space="0" w:color="auto"/>
            <w:right w:val="none" w:sz="0" w:space="0" w:color="auto"/>
          </w:divBdr>
        </w:div>
        <w:div w:id="1933590736">
          <w:marLeft w:val="0"/>
          <w:marRight w:val="0"/>
          <w:marTop w:val="0"/>
          <w:marBottom w:val="0"/>
          <w:divBdr>
            <w:top w:val="none" w:sz="0" w:space="0" w:color="auto"/>
            <w:left w:val="none" w:sz="0" w:space="0" w:color="auto"/>
            <w:bottom w:val="none" w:sz="0" w:space="0" w:color="auto"/>
            <w:right w:val="none" w:sz="0" w:space="0" w:color="auto"/>
          </w:divBdr>
        </w:div>
        <w:div w:id="1014385299">
          <w:marLeft w:val="0"/>
          <w:marRight w:val="0"/>
          <w:marTop w:val="0"/>
          <w:marBottom w:val="0"/>
          <w:divBdr>
            <w:top w:val="none" w:sz="0" w:space="0" w:color="auto"/>
            <w:left w:val="none" w:sz="0" w:space="0" w:color="auto"/>
            <w:bottom w:val="none" w:sz="0" w:space="0" w:color="auto"/>
            <w:right w:val="none" w:sz="0" w:space="0" w:color="auto"/>
          </w:divBdr>
        </w:div>
      </w:divsChild>
    </w:div>
    <w:div w:id="780606308">
      <w:bodyDiv w:val="1"/>
      <w:marLeft w:val="0"/>
      <w:marRight w:val="0"/>
      <w:marTop w:val="0"/>
      <w:marBottom w:val="0"/>
      <w:divBdr>
        <w:top w:val="none" w:sz="0" w:space="0" w:color="auto"/>
        <w:left w:val="none" w:sz="0" w:space="0" w:color="auto"/>
        <w:bottom w:val="none" w:sz="0" w:space="0" w:color="auto"/>
        <w:right w:val="none" w:sz="0" w:space="0" w:color="auto"/>
      </w:divBdr>
      <w:divsChild>
        <w:div w:id="1101149331">
          <w:marLeft w:val="0"/>
          <w:marRight w:val="0"/>
          <w:marTop w:val="0"/>
          <w:marBottom w:val="0"/>
          <w:divBdr>
            <w:top w:val="none" w:sz="0" w:space="0" w:color="auto"/>
            <w:left w:val="none" w:sz="0" w:space="0" w:color="auto"/>
            <w:bottom w:val="none" w:sz="0" w:space="0" w:color="auto"/>
            <w:right w:val="none" w:sz="0" w:space="0" w:color="auto"/>
          </w:divBdr>
        </w:div>
        <w:div w:id="1974753978">
          <w:marLeft w:val="0"/>
          <w:marRight w:val="0"/>
          <w:marTop w:val="0"/>
          <w:marBottom w:val="0"/>
          <w:divBdr>
            <w:top w:val="none" w:sz="0" w:space="0" w:color="auto"/>
            <w:left w:val="none" w:sz="0" w:space="0" w:color="auto"/>
            <w:bottom w:val="none" w:sz="0" w:space="0" w:color="auto"/>
            <w:right w:val="none" w:sz="0" w:space="0" w:color="auto"/>
          </w:divBdr>
        </w:div>
        <w:div w:id="727610778">
          <w:marLeft w:val="0"/>
          <w:marRight w:val="0"/>
          <w:marTop w:val="0"/>
          <w:marBottom w:val="0"/>
          <w:divBdr>
            <w:top w:val="none" w:sz="0" w:space="0" w:color="auto"/>
            <w:left w:val="none" w:sz="0" w:space="0" w:color="auto"/>
            <w:bottom w:val="none" w:sz="0" w:space="0" w:color="auto"/>
            <w:right w:val="none" w:sz="0" w:space="0" w:color="auto"/>
          </w:divBdr>
        </w:div>
      </w:divsChild>
    </w:div>
    <w:div w:id="1651903502">
      <w:bodyDiv w:val="1"/>
      <w:marLeft w:val="0"/>
      <w:marRight w:val="0"/>
      <w:marTop w:val="0"/>
      <w:marBottom w:val="0"/>
      <w:divBdr>
        <w:top w:val="none" w:sz="0" w:space="0" w:color="auto"/>
        <w:left w:val="none" w:sz="0" w:space="0" w:color="auto"/>
        <w:bottom w:val="none" w:sz="0" w:space="0" w:color="auto"/>
        <w:right w:val="none" w:sz="0" w:space="0" w:color="auto"/>
      </w:divBdr>
      <w:divsChild>
        <w:div w:id="608467349">
          <w:marLeft w:val="0"/>
          <w:marRight w:val="0"/>
          <w:marTop w:val="0"/>
          <w:marBottom w:val="0"/>
          <w:divBdr>
            <w:top w:val="none" w:sz="0" w:space="0" w:color="auto"/>
            <w:left w:val="none" w:sz="0" w:space="0" w:color="auto"/>
            <w:bottom w:val="none" w:sz="0" w:space="0" w:color="auto"/>
            <w:right w:val="none" w:sz="0" w:space="0" w:color="auto"/>
          </w:divBdr>
        </w:div>
        <w:div w:id="1718581906">
          <w:marLeft w:val="0"/>
          <w:marRight w:val="0"/>
          <w:marTop w:val="0"/>
          <w:marBottom w:val="0"/>
          <w:divBdr>
            <w:top w:val="none" w:sz="0" w:space="0" w:color="auto"/>
            <w:left w:val="none" w:sz="0" w:space="0" w:color="auto"/>
            <w:bottom w:val="none" w:sz="0" w:space="0" w:color="auto"/>
            <w:right w:val="none" w:sz="0" w:space="0" w:color="auto"/>
          </w:divBdr>
        </w:div>
        <w:div w:id="1988166678">
          <w:marLeft w:val="0"/>
          <w:marRight w:val="0"/>
          <w:marTop w:val="0"/>
          <w:marBottom w:val="0"/>
          <w:divBdr>
            <w:top w:val="none" w:sz="0" w:space="0" w:color="auto"/>
            <w:left w:val="none" w:sz="0" w:space="0" w:color="auto"/>
            <w:bottom w:val="none" w:sz="0" w:space="0" w:color="auto"/>
            <w:right w:val="none" w:sz="0" w:space="0" w:color="auto"/>
          </w:divBdr>
        </w:div>
        <w:div w:id="845243171">
          <w:marLeft w:val="0"/>
          <w:marRight w:val="0"/>
          <w:marTop w:val="0"/>
          <w:marBottom w:val="0"/>
          <w:divBdr>
            <w:top w:val="none" w:sz="0" w:space="0" w:color="auto"/>
            <w:left w:val="none" w:sz="0" w:space="0" w:color="auto"/>
            <w:bottom w:val="none" w:sz="0" w:space="0" w:color="auto"/>
            <w:right w:val="none" w:sz="0" w:space="0" w:color="auto"/>
          </w:divBdr>
        </w:div>
        <w:div w:id="1741833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 Type="http://schemas.openxmlformats.org/officeDocument/2006/relationships/image" Target="/media/image2.png" Id="R7157a77fa7d54cf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F620C81A198B4FA5ECBCE7B86B55D4" ma:contentTypeVersion="6" ma:contentTypeDescription="Create a new document." ma:contentTypeScope="" ma:versionID="1a4459a72747ef22e68b8c14c4304dcb">
  <xsd:schema xmlns:xsd="http://www.w3.org/2001/XMLSchema" xmlns:xs="http://www.w3.org/2001/XMLSchema" xmlns:p="http://schemas.microsoft.com/office/2006/metadata/properties" xmlns:ns2="7c34dad3-2101-44b1-90bb-adba0711d662" xmlns:ns3="3ecf61b6-427e-4a68-a0e0-725af7e87fc8" targetNamespace="http://schemas.microsoft.com/office/2006/metadata/properties" ma:root="true" ma:fieldsID="b9648e1ba6da6ad42029cb6986f9c5b2" ns2:_="" ns3:_="">
    <xsd:import namespace="7c34dad3-2101-44b1-90bb-adba0711d662"/>
    <xsd:import namespace="3ecf61b6-427e-4a68-a0e0-725af7e87f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4dad3-2101-44b1-90bb-adba0711d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cf61b6-427e-4a68-a0e0-725af7e87fc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AA5EE4-E95A-43A5-BB9D-D4AC8BCEEE1D}"/>
</file>

<file path=customXml/itemProps2.xml><?xml version="1.0" encoding="utf-8"?>
<ds:datastoreItem xmlns:ds="http://schemas.openxmlformats.org/officeDocument/2006/customXml" ds:itemID="{FE9249CB-1E87-4B87-AD76-BB2A783DC380}"/>
</file>

<file path=customXml/itemProps3.xml><?xml version="1.0" encoding="utf-8"?>
<ds:datastoreItem xmlns:ds="http://schemas.openxmlformats.org/officeDocument/2006/customXml" ds:itemID="{87E5A85C-2403-4D68-8258-580413B2ADA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Paul Walton-Allen</dc:creator>
  <keywords/>
  <dc:description/>
  <lastModifiedBy>Paul Walton-Allen</lastModifiedBy>
  <revision>9</revision>
  <dcterms:created xsi:type="dcterms:W3CDTF">2021-01-07T09:29:00.0000000Z</dcterms:created>
  <dcterms:modified xsi:type="dcterms:W3CDTF">2021-02-02T13:06:23.3342096Z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0x01010014F620C81A198B4FA5ECBCE7B86B55D4</vt:lpwstr>
  </property>
</Properties>
</file>