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91CAC" w:rsidR="001A6E68" w:rsidP="00E1339B" w:rsidRDefault="001A6E68" w14:paraId="762F8FBD" w14:textId="5DE7423C">
      <w:pPr>
        <w:spacing w:line="0" w:lineRule="atLeast"/>
        <w:jc w:val="both"/>
        <w:rPr>
          <w:rFonts w:eastAsia="Arial" w:cstheme="minorHAnsi"/>
          <w:b/>
        </w:rPr>
      </w:pPr>
      <w:bookmarkStart w:name="_Hlk52449722" w:id="0"/>
      <w:r w:rsidRPr="00991CAC">
        <w:rPr>
          <w:rFonts w:cstheme="minorHAnsi"/>
          <w:noProof/>
        </w:rPr>
        <w:drawing>
          <wp:anchor distT="0" distB="0" distL="114300" distR="114300" simplePos="0" relativeHeight="251658240" behindDoc="1" locked="0" layoutInCell="1" allowOverlap="1" wp14:anchorId="1A84DD6E" wp14:editId="2F800908">
            <wp:simplePos x="0" y="0"/>
            <wp:positionH relativeFrom="margin">
              <wp:align>left</wp:align>
            </wp:positionH>
            <wp:positionV relativeFrom="margin">
              <wp:align>top</wp:align>
            </wp:positionV>
            <wp:extent cx="1965960"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5960" cy="1036320"/>
                    </a:xfrm>
                    <a:prstGeom prst="rect">
                      <a:avLst/>
                    </a:prstGeom>
                    <a:noFill/>
                  </pic:spPr>
                </pic:pic>
              </a:graphicData>
            </a:graphic>
            <wp14:sizeRelH relativeFrom="page">
              <wp14:pctWidth>0</wp14:pctWidth>
            </wp14:sizeRelH>
            <wp14:sizeRelV relativeFrom="page">
              <wp14:pctHeight>0</wp14:pctHeight>
            </wp14:sizeRelV>
          </wp:anchor>
        </w:drawing>
      </w:r>
    </w:p>
    <w:p w:rsidRPr="00991CAC" w:rsidR="001A6E68" w:rsidP="00E1339B" w:rsidRDefault="001A6E68" w14:paraId="19AA2A24" w14:textId="77777777">
      <w:pPr>
        <w:spacing w:line="0" w:lineRule="atLeast"/>
        <w:jc w:val="both"/>
        <w:rPr>
          <w:rFonts w:eastAsia="Arial" w:cstheme="minorHAnsi"/>
          <w:b/>
        </w:rPr>
      </w:pPr>
    </w:p>
    <w:p w:rsidRPr="00991CAC" w:rsidR="001A6E68" w:rsidP="00E1339B" w:rsidRDefault="001A6E68" w14:paraId="301F70E2" w14:textId="77777777">
      <w:pPr>
        <w:spacing w:line="0" w:lineRule="atLeast"/>
        <w:jc w:val="both"/>
        <w:rPr>
          <w:rFonts w:eastAsia="Arial" w:cstheme="minorHAnsi"/>
          <w:b/>
        </w:rPr>
      </w:pPr>
    </w:p>
    <w:p w:rsidRPr="00991CAC" w:rsidR="001A6E68" w:rsidP="00E1339B" w:rsidRDefault="001A6E68" w14:paraId="413A64B8" w14:textId="77777777">
      <w:pPr>
        <w:spacing w:line="0" w:lineRule="atLeast"/>
        <w:jc w:val="both"/>
        <w:rPr>
          <w:rFonts w:eastAsia="Arial" w:cstheme="minorHAnsi"/>
          <w:b/>
        </w:rPr>
      </w:pPr>
    </w:p>
    <w:p w:rsidRPr="00991CAC" w:rsidR="001A6E68" w:rsidP="00E1339B" w:rsidRDefault="001A6E68" w14:paraId="7836BFC8" w14:textId="77777777">
      <w:pPr>
        <w:spacing w:line="0" w:lineRule="atLeast"/>
        <w:jc w:val="both"/>
        <w:rPr>
          <w:rFonts w:eastAsia="Arial" w:cstheme="minorHAnsi"/>
          <w:b/>
        </w:rPr>
      </w:pPr>
    </w:p>
    <w:p w:rsidRPr="00991CAC" w:rsidR="001A6E68" w:rsidP="00E1339B" w:rsidRDefault="001A6E68" w14:paraId="67684CCC" w14:textId="77777777">
      <w:pPr>
        <w:spacing w:line="0" w:lineRule="atLeast"/>
        <w:jc w:val="both"/>
        <w:rPr>
          <w:rFonts w:eastAsia="Arial" w:cstheme="minorHAnsi"/>
          <w:b/>
        </w:rPr>
      </w:pPr>
    </w:p>
    <w:p w:rsidRPr="00991CAC" w:rsidR="001A6E68" w:rsidP="00E1339B" w:rsidRDefault="001A6E68" w14:paraId="275712BD" w14:textId="77777777">
      <w:pPr>
        <w:spacing w:line="0" w:lineRule="atLeast"/>
        <w:jc w:val="both"/>
        <w:rPr>
          <w:rFonts w:eastAsia="Arial" w:cstheme="minorHAnsi"/>
          <w:b/>
        </w:rPr>
      </w:pPr>
    </w:p>
    <w:p w:rsidRPr="00991CAC" w:rsidR="001A6E68" w:rsidP="00E1339B" w:rsidRDefault="001A6E68" w14:paraId="5276B453" w14:textId="30E7EC5D">
      <w:pPr>
        <w:spacing w:line="0" w:lineRule="atLeast"/>
        <w:jc w:val="both"/>
        <w:rPr>
          <w:rFonts w:eastAsia="Arial" w:cstheme="minorHAnsi"/>
          <w:b/>
        </w:rPr>
      </w:pPr>
      <w:r w:rsidRPr="00991CAC">
        <w:rPr>
          <w:rFonts w:eastAsia="Arial" w:cstheme="minorHAnsi"/>
          <w:b/>
        </w:rPr>
        <w:t>Lockdown Continuity Plan</w:t>
      </w:r>
    </w:p>
    <w:p w:rsidRPr="00991CAC" w:rsidR="001A6E68" w:rsidP="00E1339B" w:rsidRDefault="001A6E68" w14:paraId="0CA6C131" w14:textId="77777777">
      <w:pPr>
        <w:spacing w:line="0" w:lineRule="atLeast"/>
        <w:jc w:val="both"/>
        <w:rPr>
          <w:rFonts w:eastAsia="Arial" w:cstheme="minorHAnsi"/>
          <w:b/>
        </w:rPr>
      </w:pPr>
    </w:p>
    <w:p w:rsidRPr="00991CAC" w:rsidR="001A6E68" w:rsidP="00E1339B" w:rsidRDefault="001A6E68" w14:paraId="3CEDB638" w14:textId="77777777">
      <w:pPr>
        <w:spacing w:line="0" w:lineRule="atLeast"/>
        <w:jc w:val="both"/>
        <w:rPr>
          <w:rFonts w:eastAsia="Arial" w:cstheme="minorHAnsi"/>
          <w:b/>
        </w:rPr>
      </w:pPr>
      <w:r w:rsidRPr="00991CAC">
        <w:rPr>
          <w:rFonts w:eastAsia="Arial" w:cstheme="minorHAnsi"/>
          <w:b/>
        </w:rPr>
        <w:t>City College Limited</w:t>
      </w:r>
    </w:p>
    <w:p w:rsidRPr="00991CAC" w:rsidR="001A6E68" w:rsidP="00E1339B" w:rsidRDefault="001A6E68" w14:paraId="06746780" w14:textId="77777777">
      <w:pPr>
        <w:spacing w:line="231" w:lineRule="exact"/>
        <w:jc w:val="both"/>
        <w:rPr>
          <w:rFonts w:eastAsia="Times New Roman" w:cstheme="minorHAnsi"/>
        </w:rPr>
      </w:pPr>
    </w:p>
    <w:p w:rsidRPr="00991CAC" w:rsidR="001A6E68" w:rsidP="00E1339B" w:rsidRDefault="001A6E68" w14:paraId="3AB35538" w14:textId="77777777">
      <w:pPr>
        <w:spacing w:line="0" w:lineRule="atLeast"/>
        <w:jc w:val="both"/>
        <w:rPr>
          <w:rFonts w:eastAsia="Arial" w:cstheme="minorHAnsi"/>
        </w:rPr>
      </w:pPr>
      <w:r w:rsidRPr="00991CAC">
        <w:rPr>
          <w:rFonts w:eastAsia="Arial" w:cstheme="minorHAnsi"/>
        </w:rPr>
        <w:t>69 Steward Street</w:t>
      </w:r>
    </w:p>
    <w:p w:rsidRPr="00991CAC" w:rsidR="001A6E68" w:rsidP="00E1339B" w:rsidRDefault="001A6E68" w14:paraId="0CD91645" w14:textId="77777777">
      <w:pPr>
        <w:spacing w:line="0" w:lineRule="atLeast"/>
        <w:jc w:val="both"/>
        <w:rPr>
          <w:rFonts w:eastAsia="Arial" w:cstheme="minorHAnsi"/>
        </w:rPr>
      </w:pPr>
      <w:r w:rsidRPr="00991CAC">
        <w:rPr>
          <w:rFonts w:eastAsia="Arial" w:cstheme="minorHAnsi"/>
        </w:rPr>
        <w:t>Birmingham</w:t>
      </w:r>
    </w:p>
    <w:p w:rsidRPr="00991CAC" w:rsidR="001A6E68" w:rsidP="00E1339B" w:rsidRDefault="001A6E68" w14:paraId="7F380F22" w14:textId="77777777">
      <w:pPr>
        <w:spacing w:line="0" w:lineRule="atLeast"/>
        <w:jc w:val="both"/>
        <w:rPr>
          <w:rFonts w:eastAsia="Arial" w:cstheme="minorHAnsi"/>
        </w:rPr>
      </w:pPr>
      <w:r w:rsidRPr="00991CAC">
        <w:rPr>
          <w:rFonts w:eastAsia="Arial" w:cstheme="minorHAnsi"/>
        </w:rPr>
        <w:t>B18 7AF</w:t>
      </w:r>
    </w:p>
    <w:p w:rsidRPr="00991CAC" w:rsidR="001A6E68" w:rsidP="00E1339B" w:rsidRDefault="001A6E68" w14:paraId="24A982CA" w14:textId="77777777">
      <w:pPr>
        <w:spacing w:line="200" w:lineRule="exact"/>
        <w:jc w:val="both"/>
        <w:rPr>
          <w:rFonts w:eastAsia="Times New Roman" w:cstheme="minorHAnsi"/>
        </w:rPr>
      </w:pPr>
    </w:p>
    <w:p w:rsidRPr="00991CAC" w:rsidR="001A6E68" w:rsidP="00E1339B" w:rsidRDefault="001A6E68" w14:paraId="160B478B" w14:textId="77777777">
      <w:pPr>
        <w:spacing w:line="200" w:lineRule="exact"/>
        <w:jc w:val="both"/>
        <w:rPr>
          <w:rFonts w:eastAsia="Times New Roman" w:cstheme="minorHAnsi"/>
        </w:rPr>
      </w:pPr>
    </w:p>
    <w:p w:rsidRPr="00991CAC" w:rsidR="001A6E68" w:rsidP="00E1339B" w:rsidRDefault="001A6E68" w14:paraId="49C44FE6" w14:textId="77777777">
      <w:pPr>
        <w:spacing w:line="200" w:lineRule="exact"/>
        <w:jc w:val="both"/>
        <w:rPr>
          <w:rFonts w:eastAsia="Times New Roman" w:cstheme="minorHAnsi"/>
        </w:rPr>
      </w:pPr>
    </w:p>
    <w:tbl>
      <w:tblPr>
        <w:tblW w:w="8994"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8"/>
        <w:gridCol w:w="2249"/>
        <w:gridCol w:w="2249"/>
        <w:gridCol w:w="2248"/>
      </w:tblGrid>
      <w:tr w:rsidRPr="00991CAC" w:rsidR="001A6E68" w:rsidTr="001A6E68" w14:paraId="5AE8EA5C" w14:textId="77777777">
        <w:tc>
          <w:tcPr>
            <w:tcW w:w="2248" w:type="dxa"/>
            <w:tcBorders>
              <w:top w:val="single" w:color="auto" w:sz="6" w:space="0"/>
              <w:left w:val="single" w:color="auto" w:sz="6" w:space="0"/>
              <w:bottom w:val="single" w:color="auto" w:sz="6" w:space="0"/>
              <w:right w:val="single" w:color="auto" w:sz="6" w:space="0"/>
            </w:tcBorders>
            <w:hideMark/>
          </w:tcPr>
          <w:p w:rsidRPr="00991CAC" w:rsidR="001A6E68" w:rsidP="00E1339B" w:rsidRDefault="001A6E68" w14:paraId="0B3A116F" w14:textId="77777777">
            <w:pPr>
              <w:spacing w:line="256" w:lineRule="auto"/>
              <w:jc w:val="both"/>
              <w:textAlignment w:val="baseline"/>
              <w:rPr>
                <w:rFonts w:eastAsia="Times New Roman" w:cstheme="minorHAnsi"/>
              </w:rPr>
            </w:pPr>
            <w:bookmarkStart w:name="_Hlk52372241" w:id="1"/>
            <w:r w:rsidRPr="00991CAC">
              <w:rPr>
                <w:rFonts w:eastAsia="Times New Roman" w:cstheme="minorHAnsi"/>
              </w:rPr>
              <w:t>Title </w:t>
            </w:r>
          </w:p>
        </w:tc>
        <w:tc>
          <w:tcPr>
            <w:tcW w:w="2249" w:type="dxa"/>
            <w:tcBorders>
              <w:top w:val="single" w:color="auto" w:sz="6" w:space="0"/>
              <w:left w:val="nil"/>
              <w:bottom w:val="single" w:color="auto" w:sz="6" w:space="0"/>
              <w:right w:val="single" w:color="auto" w:sz="6" w:space="0"/>
            </w:tcBorders>
            <w:hideMark/>
          </w:tcPr>
          <w:p w:rsidRPr="00991CAC" w:rsidR="001A6E68" w:rsidP="00E1339B" w:rsidRDefault="001A6E68" w14:paraId="4DBB91DC" w14:textId="205880CD">
            <w:pPr>
              <w:spacing w:line="256" w:lineRule="auto"/>
              <w:jc w:val="both"/>
              <w:textAlignment w:val="baseline"/>
              <w:rPr>
                <w:rFonts w:eastAsia="Times New Roman" w:cstheme="minorHAnsi"/>
              </w:rPr>
            </w:pPr>
            <w:r w:rsidRPr="00991CAC">
              <w:rPr>
                <w:rFonts w:eastAsia="Times New Roman" w:cstheme="minorHAnsi"/>
              </w:rPr>
              <w:t>Lockdown continuity plan</w:t>
            </w:r>
          </w:p>
        </w:tc>
        <w:tc>
          <w:tcPr>
            <w:tcW w:w="2249" w:type="dxa"/>
            <w:tcBorders>
              <w:top w:val="single" w:color="auto" w:sz="6" w:space="0"/>
              <w:left w:val="nil"/>
              <w:bottom w:val="single" w:color="auto" w:sz="6" w:space="0"/>
              <w:right w:val="single" w:color="auto" w:sz="6" w:space="0"/>
            </w:tcBorders>
            <w:hideMark/>
          </w:tcPr>
          <w:p w:rsidRPr="00991CAC" w:rsidR="001A6E68" w:rsidP="00E1339B" w:rsidRDefault="001A6E68" w14:paraId="2FD78A27" w14:textId="77777777">
            <w:pPr>
              <w:spacing w:line="256" w:lineRule="auto"/>
              <w:jc w:val="both"/>
              <w:textAlignment w:val="baseline"/>
              <w:rPr>
                <w:rFonts w:eastAsia="Times New Roman" w:cstheme="minorHAnsi"/>
              </w:rPr>
            </w:pPr>
            <w:r w:rsidRPr="00991CAC">
              <w:rPr>
                <w:rFonts w:eastAsia="Times New Roman" w:cstheme="minorHAnsi"/>
              </w:rPr>
              <w:t>Department </w:t>
            </w:r>
          </w:p>
        </w:tc>
        <w:tc>
          <w:tcPr>
            <w:tcW w:w="2248" w:type="dxa"/>
            <w:tcBorders>
              <w:top w:val="single" w:color="auto" w:sz="6" w:space="0"/>
              <w:left w:val="nil"/>
              <w:bottom w:val="single" w:color="auto" w:sz="6" w:space="0"/>
              <w:right w:val="single" w:color="auto" w:sz="6" w:space="0"/>
            </w:tcBorders>
            <w:hideMark/>
          </w:tcPr>
          <w:p w:rsidRPr="00991CAC" w:rsidR="001A6E68" w:rsidP="00E1339B" w:rsidRDefault="001A6E68" w14:paraId="7ADBBCDA" w14:textId="272C893A">
            <w:pPr>
              <w:spacing w:line="256" w:lineRule="auto"/>
              <w:jc w:val="both"/>
              <w:textAlignment w:val="baseline"/>
              <w:rPr>
                <w:rFonts w:eastAsia="Times New Roman" w:cstheme="minorHAnsi"/>
              </w:rPr>
            </w:pPr>
            <w:r w:rsidRPr="00991CAC">
              <w:rPr>
                <w:rFonts w:eastAsia="Times New Roman" w:cstheme="minorHAnsi"/>
              </w:rPr>
              <w:t>Operations</w:t>
            </w:r>
          </w:p>
        </w:tc>
      </w:tr>
      <w:bookmarkEnd w:id="1"/>
      <w:tr w:rsidRPr="00991CAC" w:rsidR="001A6E68" w:rsidTr="001A6E68" w14:paraId="7B2B443B" w14:textId="77777777">
        <w:tc>
          <w:tcPr>
            <w:tcW w:w="2248" w:type="dxa"/>
            <w:tcBorders>
              <w:top w:val="nil"/>
              <w:left w:val="single" w:color="auto" w:sz="6" w:space="0"/>
              <w:bottom w:val="single" w:color="auto" w:sz="6" w:space="0"/>
              <w:right w:val="single" w:color="auto" w:sz="6" w:space="0"/>
            </w:tcBorders>
            <w:hideMark/>
          </w:tcPr>
          <w:p w:rsidRPr="00991CAC" w:rsidR="001A6E68" w:rsidP="00E1339B" w:rsidRDefault="001A6E68" w14:paraId="3473AC4E" w14:textId="77777777">
            <w:pPr>
              <w:spacing w:line="256" w:lineRule="auto"/>
              <w:jc w:val="both"/>
              <w:textAlignment w:val="baseline"/>
              <w:rPr>
                <w:rFonts w:eastAsia="Times New Roman" w:cstheme="minorHAnsi"/>
              </w:rPr>
            </w:pPr>
            <w:r w:rsidRPr="00991CAC">
              <w:rPr>
                <w:rFonts w:eastAsia="Times New Roman" w:cstheme="minorHAnsi"/>
              </w:rPr>
              <w:t>Location </w:t>
            </w:r>
          </w:p>
        </w:tc>
        <w:tc>
          <w:tcPr>
            <w:tcW w:w="2249" w:type="dxa"/>
            <w:tcBorders>
              <w:top w:val="nil"/>
              <w:left w:val="nil"/>
              <w:bottom w:val="single" w:color="auto" w:sz="6" w:space="0"/>
              <w:right w:val="single" w:color="auto" w:sz="6" w:space="0"/>
            </w:tcBorders>
            <w:hideMark/>
          </w:tcPr>
          <w:p w:rsidRPr="00991CAC" w:rsidR="001A6E68" w:rsidP="00E1339B" w:rsidRDefault="001A6E68" w14:paraId="54A600DB" w14:textId="77777777">
            <w:pPr>
              <w:spacing w:line="256" w:lineRule="auto"/>
              <w:jc w:val="both"/>
              <w:textAlignment w:val="baseline"/>
              <w:rPr>
                <w:rFonts w:eastAsia="Times New Roman" w:cstheme="minorHAnsi"/>
              </w:rPr>
            </w:pPr>
            <w:r w:rsidRPr="00991CAC">
              <w:rPr>
                <w:rFonts w:eastAsia="Times New Roman" w:cstheme="minorHAnsi"/>
              </w:rPr>
              <w:t>Sharepoint </w:t>
            </w:r>
          </w:p>
        </w:tc>
        <w:tc>
          <w:tcPr>
            <w:tcW w:w="2249" w:type="dxa"/>
            <w:tcBorders>
              <w:top w:val="nil"/>
              <w:left w:val="nil"/>
              <w:bottom w:val="single" w:color="auto" w:sz="6" w:space="0"/>
              <w:right w:val="single" w:color="auto" w:sz="6" w:space="0"/>
            </w:tcBorders>
            <w:hideMark/>
          </w:tcPr>
          <w:p w:rsidRPr="00991CAC" w:rsidR="001A6E68" w:rsidP="00E1339B" w:rsidRDefault="001A6E68" w14:paraId="7F7BA733" w14:textId="77777777">
            <w:pPr>
              <w:spacing w:line="256" w:lineRule="auto"/>
              <w:jc w:val="both"/>
              <w:textAlignment w:val="baseline"/>
              <w:rPr>
                <w:rFonts w:eastAsia="Times New Roman" w:cstheme="minorHAnsi"/>
              </w:rPr>
            </w:pPr>
            <w:r w:rsidRPr="00991CAC">
              <w:rPr>
                <w:rFonts w:eastAsia="Times New Roman" w:cstheme="minorHAnsi"/>
              </w:rPr>
              <w:t>Author </w:t>
            </w:r>
          </w:p>
        </w:tc>
        <w:tc>
          <w:tcPr>
            <w:tcW w:w="2248" w:type="dxa"/>
            <w:tcBorders>
              <w:top w:val="nil"/>
              <w:left w:val="nil"/>
              <w:bottom w:val="single" w:color="auto" w:sz="6" w:space="0"/>
              <w:right w:val="single" w:color="auto" w:sz="6" w:space="0"/>
            </w:tcBorders>
            <w:hideMark/>
          </w:tcPr>
          <w:p w:rsidRPr="00991CAC" w:rsidR="001A6E68" w:rsidP="00E1339B" w:rsidRDefault="001A6E68" w14:paraId="45CA40F8" w14:textId="4A5BD970">
            <w:pPr>
              <w:spacing w:line="256" w:lineRule="auto"/>
              <w:jc w:val="both"/>
              <w:textAlignment w:val="baseline"/>
              <w:rPr>
                <w:rFonts w:eastAsia="Times New Roman" w:cstheme="minorHAnsi"/>
              </w:rPr>
            </w:pPr>
            <w:r w:rsidRPr="00991CAC">
              <w:rPr>
                <w:rFonts w:eastAsia="Times New Roman" w:cstheme="minorHAnsi"/>
              </w:rPr>
              <w:t>TA</w:t>
            </w:r>
          </w:p>
        </w:tc>
      </w:tr>
      <w:tr w:rsidRPr="00991CAC" w:rsidR="001A6E68" w:rsidTr="001A6E68" w14:paraId="2DF1094D" w14:textId="77777777">
        <w:tc>
          <w:tcPr>
            <w:tcW w:w="2248" w:type="dxa"/>
            <w:tcBorders>
              <w:top w:val="nil"/>
              <w:left w:val="single" w:color="auto" w:sz="6" w:space="0"/>
              <w:bottom w:val="single" w:color="auto" w:sz="6" w:space="0"/>
              <w:right w:val="single" w:color="auto" w:sz="6" w:space="0"/>
            </w:tcBorders>
            <w:hideMark/>
          </w:tcPr>
          <w:p w:rsidRPr="00991CAC" w:rsidR="001A6E68" w:rsidP="00E1339B" w:rsidRDefault="001A6E68" w14:paraId="45E578FB" w14:textId="77777777">
            <w:pPr>
              <w:spacing w:line="256" w:lineRule="auto"/>
              <w:jc w:val="both"/>
              <w:textAlignment w:val="baseline"/>
              <w:rPr>
                <w:rFonts w:eastAsia="Times New Roman" w:cstheme="minorHAnsi"/>
              </w:rPr>
            </w:pPr>
            <w:r w:rsidRPr="00991CAC">
              <w:rPr>
                <w:rFonts w:eastAsia="Times New Roman" w:cstheme="minorHAnsi"/>
              </w:rPr>
              <w:t>Approved by SLT </w:t>
            </w:r>
          </w:p>
        </w:tc>
        <w:tc>
          <w:tcPr>
            <w:tcW w:w="2249" w:type="dxa"/>
            <w:tcBorders>
              <w:top w:val="nil"/>
              <w:left w:val="nil"/>
              <w:bottom w:val="single" w:color="auto" w:sz="6" w:space="0"/>
              <w:right w:val="single" w:color="auto" w:sz="6" w:space="0"/>
            </w:tcBorders>
            <w:hideMark/>
          </w:tcPr>
          <w:p w:rsidRPr="00991CAC" w:rsidR="001A6E68" w:rsidP="00E1339B" w:rsidRDefault="001A6E68" w14:paraId="0F5EFE3E" w14:textId="77777777">
            <w:pPr>
              <w:spacing w:line="256" w:lineRule="auto"/>
              <w:jc w:val="both"/>
              <w:textAlignment w:val="baseline"/>
              <w:rPr>
                <w:rFonts w:eastAsia="Times New Roman" w:cstheme="minorHAnsi"/>
              </w:rPr>
            </w:pPr>
            <w:r w:rsidRPr="00991CAC">
              <w:rPr>
                <w:rFonts w:eastAsia="Times New Roman" w:cstheme="minorHAnsi"/>
              </w:rPr>
              <w:t>Yes</w:t>
            </w:r>
          </w:p>
        </w:tc>
        <w:tc>
          <w:tcPr>
            <w:tcW w:w="2249" w:type="dxa"/>
            <w:tcBorders>
              <w:top w:val="nil"/>
              <w:left w:val="nil"/>
              <w:bottom w:val="single" w:color="auto" w:sz="6" w:space="0"/>
              <w:right w:val="single" w:color="auto" w:sz="6" w:space="0"/>
            </w:tcBorders>
            <w:hideMark/>
          </w:tcPr>
          <w:p w:rsidRPr="00991CAC" w:rsidR="001A6E68" w:rsidP="00E1339B" w:rsidRDefault="001A6E68" w14:paraId="4A4C47D2" w14:textId="3ACEF55A">
            <w:pPr>
              <w:spacing w:line="256" w:lineRule="auto"/>
              <w:jc w:val="both"/>
              <w:textAlignment w:val="baseline"/>
              <w:rPr>
                <w:rFonts w:eastAsia="Times New Roman" w:cstheme="minorHAnsi"/>
              </w:rPr>
            </w:pPr>
            <w:r w:rsidRPr="00991CAC">
              <w:rPr>
                <w:rFonts w:eastAsia="Times New Roman" w:cstheme="minorHAnsi"/>
              </w:rPr>
              <w:t>Date </w:t>
            </w:r>
            <w:r w:rsidR="00001228">
              <w:rPr>
                <w:rFonts w:eastAsia="Times New Roman" w:cstheme="minorHAnsi"/>
              </w:rPr>
              <w:t>2/10/2020</w:t>
            </w:r>
          </w:p>
        </w:tc>
        <w:tc>
          <w:tcPr>
            <w:tcW w:w="2248" w:type="dxa"/>
            <w:tcBorders>
              <w:top w:val="nil"/>
              <w:left w:val="nil"/>
              <w:bottom w:val="single" w:color="auto" w:sz="6" w:space="0"/>
              <w:right w:val="single" w:color="auto" w:sz="6" w:space="0"/>
            </w:tcBorders>
            <w:hideMark/>
          </w:tcPr>
          <w:p w:rsidRPr="00991CAC" w:rsidR="001A6E68" w:rsidP="00E1339B" w:rsidRDefault="00001228" w14:paraId="6B6C1F13" w14:textId="21A0FBFF">
            <w:pPr>
              <w:spacing w:line="256" w:lineRule="auto"/>
              <w:jc w:val="both"/>
              <w:textAlignment w:val="baseline"/>
              <w:rPr>
                <w:rFonts w:eastAsia="Times New Roman" w:cstheme="minorHAnsi"/>
              </w:rPr>
            </w:pPr>
            <w:r>
              <w:rPr>
                <w:rFonts w:eastAsia="Times New Roman" w:cstheme="minorHAnsi"/>
              </w:rPr>
              <w:t>15/5/</w:t>
            </w:r>
            <w:r w:rsidRPr="00991CAC" w:rsidR="001A6E68">
              <w:rPr>
                <w:rFonts w:eastAsia="Times New Roman" w:cstheme="minorHAnsi"/>
              </w:rPr>
              <w:t>2020</w:t>
            </w:r>
          </w:p>
        </w:tc>
      </w:tr>
      <w:tr w:rsidRPr="00991CAC" w:rsidR="001A6E68" w:rsidTr="001A6E68" w14:paraId="6F4D347B" w14:textId="77777777">
        <w:tc>
          <w:tcPr>
            <w:tcW w:w="2248" w:type="dxa"/>
            <w:tcBorders>
              <w:top w:val="nil"/>
              <w:left w:val="single" w:color="auto" w:sz="6" w:space="0"/>
              <w:bottom w:val="single" w:color="auto" w:sz="6" w:space="0"/>
              <w:right w:val="single" w:color="auto" w:sz="6" w:space="0"/>
            </w:tcBorders>
            <w:hideMark/>
          </w:tcPr>
          <w:p w:rsidRPr="00991CAC" w:rsidR="001A6E68" w:rsidP="00E1339B" w:rsidRDefault="001A6E68" w14:paraId="12FE89F2" w14:textId="77777777">
            <w:pPr>
              <w:spacing w:line="256" w:lineRule="auto"/>
              <w:jc w:val="both"/>
              <w:textAlignment w:val="baseline"/>
              <w:rPr>
                <w:rFonts w:eastAsia="Times New Roman" w:cstheme="minorHAnsi"/>
              </w:rPr>
            </w:pPr>
            <w:r w:rsidRPr="00991CAC">
              <w:rPr>
                <w:rFonts w:eastAsia="Times New Roman" w:cstheme="minorHAnsi"/>
              </w:rPr>
              <w:t>Last Review </w:t>
            </w:r>
          </w:p>
        </w:tc>
        <w:tc>
          <w:tcPr>
            <w:tcW w:w="2249" w:type="dxa"/>
            <w:tcBorders>
              <w:top w:val="nil"/>
              <w:left w:val="nil"/>
              <w:bottom w:val="single" w:color="auto" w:sz="6" w:space="0"/>
              <w:right w:val="single" w:color="auto" w:sz="6" w:space="0"/>
            </w:tcBorders>
            <w:hideMark/>
          </w:tcPr>
          <w:p w:rsidRPr="00991CAC" w:rsidR="001A6E68" w:rsidP="00E1339B" w:rsidRDefault="000D789F" w14:paraId="49FEBA84" w14:textId="50064388">
            <w:pPr>
              <w:spacing w:line="256" w:lineRule="auto"/>
              <w:jc w:val="both"/>
              <w:textAlignment w:val="baseline"/>
              <w:rPr>
                <w:rFonts w:eastAsia="Times New Roman" w:cstheme="minorHAnsi"/>
              </w:rPr>
            </w:pPr>
            <w:r>
              <w:rPr>
                <w:rFonts w:eastAsia="Times New Roman" w:cstheme="minorHAnsi"/>
              </w:rPr>
              <w:t>January 2021</w:t>
            </w:r>
          </w:p>
        </w:tc>
        <w:tc>
          <w:tcPr>
            <w:tcW w:w="2249" w:type="dxa"/>
            <w:tcBorders>
              <w:top w:val="nil"/>
              <w:left w:val="nil"/>
              <w:bottom w:val="single" w:color="auto" w:sz="6" w:space="0"/>
              <w:right w:val="single" w:color="auto" w:sz="6" w:space="0"/>
            </w:tcBorders>
            <w:hideMark/>
          </w:tcPr>
          <w:p w:rsidRPr="00991CAC" w:rsidR="001A6E68" w:rsidP="00E1339B" w:rsidRDefault="001A6E68" w14:paraId="4C463D3C" w14:textId="77777777">
            <w:pPr>
              <w:spacing w:line="256" w:lineRule="auto"/>
              <w:jc w:val="both"/>
              <w:textAlignment w:val="baseline"/>
              <w:rPr>
                <w:rFonts w:eastAsia="Times New Roman" w:cstheme="minorHAnsi"/>
              </w:rPr>
            </w:pPr>
            <w:r w:rsidRPr="00991CAC">
              <w:rPr>
                <w:rFonts w:eastAsia="Times New Roman" w:cstheme="minorHAnsi"/>
              </w:rPr>
              <w:t>Next Review </w:t>
            </w:r>
          </w:p>
        </w:tc>
        <w:tc>
          <w:tcPr>
            <w:tcW w:w="2248" w:type="dxa"/>
            <w:tcBorders>
              <w:top w:val="nil"/>
              <w:left w:val="nil"/>
              <w:bottom w:val="single" w:color="auto" w:sz="6" w:space="0"/>
              <w:right w:val="single" w:color="auto" w:sz="6" w:space="0"/>
            </w:tcBorders>
            <w:hideMark/>
          </w:tcPr>
          <w:p w:rsidRPr="00991CAC" w:rsidR="001A6E68" w:rsidP="00E1339B" w:rsidRDefault="000D789F" w14:paraId="3DA7F420" w14:textId="6954D375">
            <w:pPr>
              <w:spacing w:line="256" w:lineRule="auto"/>
              <w:jc w:val="both"/>
              <w:textAlignment w:val="baseline"/>
              <w:rPr>
                <w:rFonts w:eastAsia="Times New Roman" w:cstheme="minorHAnsi"/>
              </w:rPr>
            </w:pPr>
            <w:r>
              <w:rPr>
                <w:rFonts w:eastAsia="Times New Roman" w:cstheme="minorHAnsi"/>
              </w:rPr>
              <w:t>January</w:t>
            </w:r>
            <w:r w:rsidRPr="00991CAC" w:rsidR="001A6E68">
              <w:rPr>
                <w:rFonts w:eastAsia="Times New Roman" w:cstheme="minorHAnsi"/>
              </w:rPr>
              <w:t xml:space="preserve"> 202</w:t>
            </w:r>
            <w:r>
              <w:rPr>
                <w:rFonts w:eastAsia="Times New Roman" w:cstheme="minorHAnsi"/>
              </w:rPr>
              <w:t>2</w:t>
            </w:r>
          </w:p>
        </w:tc>
      </w:tr>
      <w:tr w:rsidRPr="00991CAC" w:rsidR="001A6E68" w:rsidTr="001A6E68" w14:paraId="14C438AB" w14:textId="77777777">
        <w:tc>
          <w:tcPr>
            <w:tcW w:w="2248" w:type="dxa"/>
            <w:tcBorders>
              <w:top w:val="nil"/>
              <w:left w:val="single" w:color="auto" w:sz="6" w:space="0"/>
              <w:bottom w:val="single" w:color="auto" w:sz="4" w:space="0"/>
              <w:right w:val="single" w:color="auto" w:sz="6" w:space="0"/>
            </w:tcBorders>
            <w:hideMark/>
          </w:tcPr>
          <w:p w:rsidRPr="00991CAC" w:rsidR="001A6E68" w:rsidP="00E1339B" w:rsidRDefault="001A6E68" w14:paraId="7FE3501C" w14:textId="77777777">
            <w:pPr>
              <w:spacing w:line="256" w:lineRule="auto"/>
              <w:jc w:val="both"/>
              <w:textAlignment w:val="baseline"/>
              <w:rPr>
                <w:rFonts w:eastAsia="Times New Roman" w:cstheme="minorHAnsi"/>
              </w:rPr>
            </w:pPr>
            <w:r w:rsidRPr="00991CAC">
              <w:rPr>
                <w:rFonts w:eastAsia="Times New Roman" w:cstheme="minorHAnsi"/>
              </w:rPr>
              <w:t>Version </w:t>
            </w:r>
          </w:p>
        </w:tc>
        <w:tc>
          <w:tcPr>
            <w:tcW w:w="2249" w:type="dxa"/>
            <w:tcBorders>
              <w:top w:val="nil"/>
              <w:left w:val="nil"/>
              <w:bottom w:val="single" w:color="auto" w:sz="4" w:space="0"/>
              <w:right w:val="single" w:color="auto" w:sz="6" w:space="0"/>
            </w:tcBorders>
            <w:hideMark/>
          </w:tcPr>
          <w:p w:rsidRPr="00991CAC" w:rsidR="001A6E68" w:rsidP="00E1339B" w:rsidRDefault="001A6E68" w14:paraId="4E854512" w14:textId="77777777">
            <w:pPr>
              <w:spacing w:line="256" w:lineRule="auto"/>
              <w:jc w:val="both"/>
              <w:textAlignment w:val="baseline"/>
              <w:rPr>
                <w:rFonts w:eastAsia="Times New Roman" w:cstheme="minorHAnsi"/>
              </w:rPr>
            </w:pPr>
            <w:r w:rsidRPr="00991CAC">
              <w:rPr>
                <w:rFonts w:eastAsia="Times New Roman" w:cstheme="minorHAnsi"/>
              </w:rPr>
              <w:t>Author </w:t>
            </w:r>
          </w:p>
        </w:tc>
        <w:tc>
          <w:tcPr>
            <w:tcW w:w="2249" w:type="dxa"/>
            <w:tcBorders>
              <w:top w:val="nil"/>
              <w:left w:val="nil"/>
              <w:bottom w:val="single" w:color="auto" w:sz="4" w:space="0"/>
              <w:right w:val="single" w:color="auto" w:sz="6" w:space="0"/>
            </w:tcBorders>
            <w:hideMark/>
          </w:tcPr>
          <w:p w:rsidRPr="00991CAC" w:rsidR="001A6E68" w:rsidP="00E1339B" w:rsidRDefault="001A6E68" w14:paraId="69B7A9F7" w14:textId="77777777">
            <w:pPr>
              <w:spacing w:line="256" w:lineRule="auto"/>
              <w:jc w:val="both"/>
              <w:textAlignment w:val="baseline"/>
              <w:rPr>
                <w:rFonts w:eastAsia="Times New Roman" w:cstheme="minorHAnsi"/>
              </w:rPr>
            </w:pPr>
            <w:r w:rsidRPr="00991CAC">
              <w:rPr>
                <w:rFonts w:eastAsia="Times New Roman" w:cstheme="minorHAnsi"/>
              </w:rPr>
              <w:t>Issue date </w:t>
            </w:r>
          </w:p>
        </w:tc>
        <w:tc>
          <w:tcPr>
            <w:tcW w:w="2248" w:type="dxa"/>
            <w:tcBorders>
              <w:top w:val="nil"/>
              <w:left w:val="nil"/>
              <w:bottom w:val="single" w:color="auto" w:sz="4" w:space="0"/>
              <w:right w:val="single" w:color="auto" w:sz="6" w:space="0"/>
            </w:tcBorders>
            <w:hideMark/>
          </w:tcPr>
          <w:p w:rsidRPr="00991CAC" w:rsidR="001A6E68" w:rsidP="00E1339B" w:rsidRDefault="001A6E68" w14:paraId="46004E2F" w14:textId="77777777">
            <w:pPr>
              <w:spacing w:line="256" w:lineRule="auto"/>
              <w:jc w:val="both"/>
              <w:textAlignment w:val="baseline"/>
              <w:rPr>
                <w:rFonts w:eastAsia="Times New Roman" w:cstheme="minorHAnsi"/>
              </w:rPr>
            </w:pPr>
            <w:r w:rsidRPr="00991CAC">
              <w:rPr>
                <w:rFonts w:eastAsia="Times New Roman" w:cstheme="minorHAnsi"/>
              </w:rPr>
              <w:t>Summery </w:t>
            </w:r>
          </w:p>
        </w:tc>
      </w:tr>
      <w:tr w:rsidRPr="00991CAC" w:rsidR="001A6E68" w:rsidTr="001A6E68" w14:paraId="2B5A8072" w14:textId="77777777">
        <w:tc>
          <w:tcPr>
            <w:tcW w:w="2248" w:type="dxa"/>
            <w:tcBorders>
              <w:top w:val="single" w:color="auto" w:sz="4" w:space="0"/>
              <w:left w:val="single" w:color="auto" w:sz="4" w:space="0"/>
              <w:bottom w:val="single" w:color="auto" w:sz="4" w:space="0"/>
              <w:right w:val="single" w:color="auto" w:sz="4" w:space="0"/>
            </w:tcBorders>
            <w:hideMark/>
          </w:tcPr>
          <w:p w:rsidRPr="00991CAC" w:rsidR="001A6E68" w:rsidP="00E1339B" w:rsidRDefault="001A6E68" w14:paraId="46BEB88F" w14:textId="77777777">
            <w:pPr>
              <w:spacing w:line="256" w:lineRule="auto"/>
              <w:jc w:val="both"/>
              <w:textAlignment w:val="baseline"/>
              <w:rPr>
                <w:rFonts w:eastAsia="Times New Roman" w:cstheme="minorHAnsi"/>
              </w:rPr>
            </w:pPr>
            <w:r w:rsidRPr="00991CAC">
              <w:rPr>
                <w:rFonts w:eastAsia="Times New Roman" w:cstheme="minorHAnsi"/>
              </w:rPr>
              <w:t>V.1 </w:t>
            </w:r>
          </w:p>
        </w:tc>
        <w:tc>
          <w:tcPr>
            <w:tcW w:w="2249" w:type="dxa"/>
            <w:tcBorders>
              <w:top w:val="single" w:color="auto" w:sz="4" w:space="0"/>
              <w:left w:val="single" w:color="auto" w:sz="4" w:space="0"/>
              <w:bottom w:val="single" w:color="auto" w:sz="4" w:space="0"/>
              <w:right w:val="single" w:color="auto" w:sz="4" w:space="0"/>
            </w:tcBorders>
            <w:hideMark/>
          </w:tcPr>
          <w:p w:rsidRPr="00991CAC" w:rsidR="001A6E68" w:rsidP="00E1339B" w:rsidRDefault="001A6E68" w14:paraId="1DBB27E2" w14:textId="42E50DEE">
            <w:pPr>
              <w:spacing w:line="256" w:lineRule="auto"/>
              <w:jc w:val="both"/>
              <w:textAlignment w:val="baseline"/>
              <w:rPr>
                <w:rFonts w:eastAsia="Times New Roman" w:cstheme="minorHAnsi"/>
              </w:rPr>
            </w:pPr>
            <w:r w:rsidRPr="00991CAC">
              <w:rPr>
                <w:rFonts w:eastAsia="Times New Roman" w:cstheme="minorHAnsi"/>
              </w:rPr>
              <w:t>TA</w:t>
            </w:r>
          </w:p>
        </w:tc>
        <w:tc>
          <w:tcPr>
            <w:tcW w:w="2249" w:type="dxa"/>
            <w:tcBorders>
              <w:top w:val="single" w:color="auto" w:sz="4" w:space="0"/>
              <w:left w:val="single" w:color="auto" w:sz="4" w:space="0"/>
              <w:bottom w:val="single" w:color="auto" w:sz="4" w:space="0"/>
              <w:right w:val="single" w:color="auto" w:sz="4" w:space="0"/>
            </w:tcBorders>
            <w:hideMark/>
          </w:tcPr>
          <w:p w:rsidRPr="00991CAC" w:rsidR="001A6E68" w:rsidP="00E1339B" w:rsidRDefault="001A6E68" w14:paraId="2FF5CC17" w14:textId="77777777">
            <w:pPr>
              <w:spacing w:line="256" w:lineRule="auto"/>
              <w:jc w:val="both"/>
              <w:textAlignment w:val="baseline"/>
              <w:rPr>
                <w:rFonts w:eastAsia="Times New Roman" w:cstheme="minorHAnsi"/>
              </w:rPr>
            </w:pPr>
            <w:r w:rsidRPr="00991CAC">
              <w:rPr>
                <w:rFonts w:eastAsia="Times New Roman" w:cstheme="minorHAnsi"/>
              </w:rPr>
              <w:t>May 2020 </w:t>
            </w:r>
          </w:p>
        </w:tc>
        <w:tc>
          <w:tcPr>
            <w:tcW w:w="2248" w:type="dxa"/>
            <w:tcBorders>
              <w:top w:val="single" w:color="auto" w:sz="4" w:space="0"/>
              <w:left w:val="single" w:color="auto" w:sz="4" w:space="0"/>
              <w:bottom w:val="single" w:color="auto" w:sz="4" w:space="0"/>
              <w:right w:val="single" w:color="auto" w:sz="4" w:space="0"/>
            </w:tcBorders>
            <w:hideMark/>
          </w:tcPr>
          <w:p w:rsidRPr="00991CAC" w:rsidR="001A6E68" w:rsidP="00E1339B" w:rsidRDefault="001A6E68" w14:paraId="03A350AC" w14:textId="77777777">
            <w:pPr>
              <w:spacing w:line="256" w:lineRule="auto"/>
              <w:jc w:val="both"/>
              <w:textAlignment w:val="baseline"/>
              <w:rPr>
                <w:rFonts w:eastAsia="Times New Roman" w:cstheme="minorHAnsi"/>
              </w:rPr>
            </w:pPr>
            <w:r w:rsidRPr="00991CAC">
              <w:rPr>
                <w:rFonts w:eastAsia="Times New Roman" w:cstheme="minorHAnsi"/>
              </w:rPr>
              <w:t>First draft </w:t>
            </w:r>
          </w:p>
        </w:tc>
      </w:tr>
      <w:tr w:rsidRPr="00991CAC" w:rsidR="001A6E68" w:rsidTr="001A6E68" w14:paraId="1FC50C98" w14:textId="77777777">
        <w:tc>
          <w:tcPr>
            <w:tcW w:w="2248" w:type="dxa"/>
            <w:tcBorders>
              <w:top w:val="single" w:color="auto" w:sz="4" w:space="0"/>
              <w:left w:val="single" w:color="auto" w:sz="4" w:space="0"/>
              <w:bottom w:val="single" w:color="auto" w:sz="4" w:space="0"/>
              <w:right w:val="single" w:color="auto" w:sz="4" w:space="0"/>
            </w:tcBorders>
          </w:tcPr>
          <w:p w:rsidRPr="00991CAC" w:rsidR="001A6E68" w:rsidP="00E1339B" w:rsidRDefault="001A6E68" w14:paraId="59456B2F" w14:textId="51336CB2">
            <w:pPr>
              <w:spacing w:line="256" w:lineRule="auto"/>
              <w:jc w:val="both"/>
              <w:textAlignment w:val="baseline"/>
              <w:rPr>
                <w:rFonts w:eastAsia="Times New Roman" w:cstheme="minorHAnsi"/>
              </w:rPr>
            </w:pPr>
            <w:r w:rsidRPr="00991CAC">
              <w:rPr>
                <w:rFonts w:eastAsia="Times New Roman" w:cstheme="minorHAnsi"/>
              </w:rPr>
              <w:t>V.2</w:t>
            </w:r>
          </w:p>
        </w:tc>
        <w:tc>
          <w:tcPr>
            <w:tcW w:w="2249" w:type="dxa"/>
            <w:tcBorders>
              <w:top w:val="single" w:color="auto" w:sz="4" w:space="0"/>
              <w:left w:val="single" w:color="auto" w:sz="4" w:space="0"/>
              <w:bottom w:val="single" w:color="auto" w:sz="4" w:space="0"/>
              <w:right w:val="single" w:color="auto" w:sz="4" w:space="0"/>
            </w:tcBorders>
          </w:tcPr>
          <w:p w:rsidRPr="00991CAC" w:rsidR="001A6E68" w:rsidP="00E1339B" w:rsidRDefault="001A6E68" w14:paraId="572DD4B2" w14:textId="753DA530">
            <w:pPr>
              <w:spacing w:line="256" w:lineRule="auto"/>
              <w:jc w:val="both"/>
              <w:textAlignment w:val="baseline"/>
              <w:rPr>
                <w:rFonts w:eastAsia="Times New Roman" w:cstheme="minorHAnsi"/>
              </w:rPr>
            </w:pPr>
            <w:r w:rsidRPr="00991CAC">
              <w:rPr>
                <w:rFonts w:eastAsia="Times New Roman" w:cstheme="minorHAnsi"/>
              </w:rPr>
              <w:t xml:space="preserve">PWA </w:t>
            </w:r>
          </w:p>
        </w:tc>
        <w:tc>
          <w:tcPr>
            <w:tcW w:w="2249" w:type="dxa"/>
            <w:tcBorders>
              <w:top w:val="single" w:color="auto" w:sz="4" w:space="0"/>
              <w:left w:val="single" w:color="auto" w:sz="4" w:space="0"/>
              <w:bottom w:val="single" w:color="auto" w:sz="4" w:space="0"/>
              <w:right w:val="single" w:color="auto" w:sz="4" w:space="0"/>
            </w:tcBorders>
          </w:tcPr>
          <w:p w:rsidRPr="00991CAC" w:rsidR="001A6E68" w:rsidP="00E1339B" w:rsidRDefault="000D789F" w14:paraId="14459CB7" w14:textId="5DA871A8">
            <w:pPr>
              <w:spacing w:line="256" w:lineRule="auto"/>
              <w:jc w:val="both"/>
              <w:textAlignment w:val="baseline"/>
              <w:rPr>
                <w:rFonts w:eastAsia="Times New Roman" w:cstheme="minorHAnsi"/>
              </w:rPr>
            </w:pPr>
            <w:r>
              <w:rPr>
                <w:rFonts w:eastAsia="Times New Roman" w:cstheme="minorHAnsi"/>
              </w:rPr>
              <w:t>October</w:t>
            </w:r>
          </w:p>
        </w:tc>
        <w:tc>
          <w:tcPr>
            <w:tcW w:w="2248" w:type="dxa"/>
            <w:tcBorders>
              <w:top w:val="single" w:color="auto" w:sz="4" w:space="0"/>
              <w:left w:val="single" w:color="auto" w:sz="4" w:space="0"/>
              <w:bottom w:val="single" w:color="auto" w:sz="4" w:space="0"/>
              <w:right w:val="single" w:color="auto" w:sz="4" w:space="0"/>
            </w:tcBorders>
          </w:tcPr>
          <w:p w:rsidRPr="00991CAC" w:rsidR="001A6E68" w:rsidP="00E1339B" w:rsidRDefault="001A6E68" w14:paraId="4D99C91C" w14:textId="7725D90F">
            <w:pPr>
              <w:spacing w:line="256" w:lineRule="auto"/>
              <w:jc w:val="both"/>
              <w:textAlignment w:val="baseline"/>
              <w:rPr>
                <w:rFonts w:eastAsia="Times New Roman" w:cstheme="minorHAnsi"/>
              </w:rPr>
            </w:pPr>
            <w:r w:rsidRPr="00991CAC">
              <w:rPr>
                <w:rFonts w:eastAsia="Times New Roman" w:cstheme="minorHAnsi"/>
              </w:rPr>
              <w:t>Revised for LC</w:t>
            </w:r>
          </w:p>
        </w:tc>
      </w:tr>
      <w:tr w:rsidRPr="00991CAC" w:rsidR="000D789F" w:rsidTr="001A6E68" w14:paraId="08ECFA90" w14:textId="77777777">
        <w:tc>
          <w:tcPr>
            <w:tcW w:w="2248" w:type="dxa"/>
            <w:tcBorders>
              <w:top w:val="single" w:color="auto" w:sz="4" w:space="0"/>
              <w:left w:val="single" w:color="auto" w:sz="4" w:space="0"/>
              <w:bottom w:val="single" w:color="auto" w:sz="4" w:space="0"/>
              <w:right w:val="single" w:color="auto" w:sz="4" w:space="0"/>
            </w:tcBorders>
          </w:tcPr>
          <w:p w:rsidRPr="00991CAC" w:rsidR="000D789F" w:rsidP="00E1339B" w:rsidRDefault="000D789F" w14:paraId="555FCA5F" w14:textId="331DE1B5">
            <w:pPr>
              <w:spacing w:line="256" w:lineRule="auto"/>
              <w:jc w:val="both"/>
              <w:textAlignment w:val="baseline"/>
              <w:rPr>
                <w:rFonts w:eastAsia="Times New Roman" w:cstheme="minorHAnsi"/>
              </w:rPr>
            </w:pPr>
            <w:r>
              <w:rPr>
                <w:rFonts w:eastAsia="Times New Roman" w:cstheme="minorHAnsi"/>
              </w:rPr>
              <w:t>V.3</w:t>
            </w:r>
          </w:p>
        </w:tc>
        <w:tc>
          <w:tcPr>
            <w:tcW w:w="2249" w:type="dxa"/>
            <w:tcBorders>
              <w:top w:val="single" w:color="auto" w:sz="4" w:space="0"/>
              <w:left w:val="single" w:color="auto" w:sz="4" w:space="0"/>
              <w:bottom w:val="single" w:color="auto" w:sz="4" w:space="0"/>
              <w:right w:val="single" w:color="auto" w:sz="4" w:space="0"/>
            </w:tcBorders>
          </w:tcPr>
          <w:p w:rsidRPr="00991CAC" w:rsidR="000D789F" w:rsidP="00E1339B" w:rsidRDefault="000D789F" w14:paraId="56E38BFB" w14:textId="520B8D55">
            <w:pPr>
              <w:spacing w:line="256" w:lineRule="auto"/>
              <w:jc w:val="both"/>
              <w:textAlignment w:val="baseline"/>
              <w:rPr>
                <w:rFonts w:eastAsia="Times New Roman" w:cstheme="minorHAnsi"/>
              </w:rPr>
            </w:pPr>
            <w:r>
              <w:rPr>
                <w:rFonts w:eastAsia="Times New Roman" w:cstheme="minorHAnsi"/>
              </w:rPr>
              <w:t>PWA</w:t>
            </w:r>
          </w:p>
        </w:tc>
        <w:tc>
          <w:tcPr>
            <w:tcW w:w="2249" w:type="dxa"/>
            <w:tcBorders>
              <w:top w:val="single" w:color="auto" w:sz="4" w:space="0"/>
              <w:left w:val="single" w:color="auto" w:sz="4" w:space="0"/>
              <w:bottom w:val="single" w:color="auto" w:sz="4" w:space="0"/>
              <w:right w:val="single" w:color="auto" w:sz="4" w:space="0"/>
            </w:tcBorders>
          </w:tcPr>
          <w:p w:rsidR="000D789F" w:rsidP="00E1339B" w:rsidRDefault="000D789F" w14:paraId="727E047B" w14:textId="73CE557D">
            <w:pPr>
              <w:spacing w:line="256" w:lineRule="auto"/>
              <w:jc w:val="both"/>
              <w:textAlignment w:val="baseline"/>
              <w:rPr>
                <w:rFonts w:eastAsia="Times New Roman" w:cstheme="minorHAnsi"/>
              </w:rPr>
            </w:pPr>
            <w:r>
              <w:rPr>
                <w:rFonts w:eastAsia="Times New Roman" w:cstheme="minorHAnsi"/>
              </w:rPr>
              <w:t>January 2021</w:t>
            </w:r>
          </w:p>
        </w:tc>
        <w:tc>
          <w:tcPr>
            <w:tcW w:w="2248" w:type="dxa"/>
            <w:tcBorders>
              <w:top w:val="single" w:color="auto" w:sz="4" w:space="0"/>
              <w:left w:val="single" w:color="auto" w:sz="4" w:space="0"/>
              <w:bottom w:val="single" w:color="auto" w:sz="4" w:space="0"/>
              <w:right w:val="single" w:color="auto" w:sz="4" w:space="0"/>
            </w:tcBorders>
          </w:tcPr>
          <w:p w:rsidRPr="00991CAC" w:rsidR="000D789F" w:rsidP="00E1339B" w:rsidRDefault="000D789F" w14:paraId="677EDCE4" w14:textId="3D6287E0">
            <w:pPr>
              <w:spacing w:line="256" w:lineRule="auto"/>
              <w:jc w:val="both"/>
              <w:textAlignment w:val="baseline"/>
              <w:rPr>
                <w:rFonts w:eastAsia="Times New Roman" w:cstheme="minorHAnsi"/>
              </w:rPr>
            </w:pPr>
            <w:r>
              <w:rPr>
                <w:rFonts w:eastAsia="Times New Roman" w:cstheme="minorHAnsi"/>
              </w:rPr>
              <w:t>Revised for national lockdown</w:t>
            </w:r>
          </w:p>
        </w:tc>
      </w:tr>
    </w:tbl>
    <w:p w:rsidRPr="00991CAC" w:rsidR="001A6E68" w:rsidP="00E1339B" w:rsidRDefault="001A6E68" w14:paraId="49FE6477" w14:textId="77777777">
      <w:pPr>
        <w:spacing w:line="200" w:lineRule="exact"/>
        <w:jc w:val="both"/>
        <w:rPr>
          <w:rFonts w:eastAsia="Times New Roman" w:cstheme="minorHAnsi"/>
          <w:lang w:eastAsia="en-GB"/>
        </w:rPr>
      </w:pPr>
    </w:p>
    <w:p w:rsidRPr="00991CAC" w:rsidR="001A6E68" w:rsidP="00E1339B" w:rsidRDefault="001A6E68" w14:paraId="3F60F4E9" w14:textId="77777777">
      <w:pPr>
        <w:spacing w:line="200" w:lineRule="exact"/>
        <w:jc w:val="both"/>
        <w:rPr>
          <w:rFonts w:eastAsia="Times New Roman" w:cstheme="minorHAnsi"/>
        </w:rPr>
      </w:pPr>
    </w:p>
    <w:p w:rsidRPr="00991CAC" w:rsidR="001A6E68" w:rsidP="00E1339B" w:rsidRDefault="001A6E68" w14:paraId="05A053A8" w14:textId="77777777">
      <w:pPr>
        <w:spacing w:line="200" w:lineRule="exact"/>
        <w:jc w:val="both"/>
        <w:rPr>
          <w:rFonts w:eastAsia="Times New Roman" w:cstheme="minorHAnsi"/>
        </w:rPr>
      </w:pPr>
    </w:p>
    <w:p w:rsidRPr="00991CAC" w:rsidR="001A6E68" w:rsidP="00E1339B" w:rsidRDefault="001A6E68" w14:paraId="72B612AB" w14:textId="77777777">
      <w:pPr>
        <w:spacing w:line="200" w:lineRule="exact"/>
        <w:jc w:val="both"/>
        <w:rPr>
          <w:rFonts w:eastAsia="Times New Roman" w:cstheme="minorHAnsi"/>
        </w:rPr>
      </w:pPr>
    </w:p>
    <w:p w:rsidRPr="004916DF" w:rsidR="00E1339B" w:rsidP="00E1339B" w:rsidRDefault="00E1339B" w14:paraId="79E32A0D" w14:textId="77777777">
      <w:pPr>
        <w:pStyle w:val="NoSpacing"/>
        <w:ind w:left="0" w:firstLine="0"/>
        <w:rPr>
          <w:b/>
          <w:bCs/>
          <w:sz w:val="22"/>
        </w:rPr>
      </w:pPr>
      <w:r w:rsidRPr="004916DF">
        <w:rPr>
          <w:b/>
          <w:bCs/>
          <w:sz w:val="22"/>
        </w:rPr>
        <w:t>Key Person(s)</w:t>
      </w:r>
    </w:p>
    <w:p w:rsidRPr="004916DF" w:rsidR="00E1339B" w:rsidP="00E1339B" w:rsidRDefault="00E1339B" w14:paraId="1AD128F0" w14:textId="77777777">
      <w:pPr>
        <w:pStyle w:val="NoSpacing"/>
        <w:ind w:left="0" w:firstLine="0"/>
        <w:rPr>
          <w:b/>
          <w:bCs/>
          <w:sz w:val="22"/>
        </w:rPr>
      </w:pPr>
    </w:p>
    <w:p w:rsidRPr="004916DF" w:rsidR="00E1339B" w:rsidP="00E1339B" w:rsidRDefault="00E1339B" w14:paraId="651C4E89" w14:textId="77777777">
      <w:pPr>
        <w:pStyle w:val="NoSpacing"/>
        <w:ind w:left="0" w:firstLine="0"/>
        <w:rPr>
          <w:b/>
          <w:bCs/>
          <w:sz w:val="22"/>
        </w:rPr>
      </w:pPr>
      <w:r w:rsidRPr="004916DF">
        <w:rPr>
          <w:b/>
          <w:bCs/>
          <w:sz w:val="22"/>
        </w:rPr>
        <w:t>Managing Director</w:t>
      </w:r>
    </w:p>
    <w:p w:rsidRPr="004916DF" w:rsidR="00E1339B" w:rsidP="00E1339B" w:rsidRDefault="00E1339B" w14:paraId="09FDC553" w14:textId="77777777">
      <w:pPr>
        <w:pStyle w:val="NoSpacing"/>
        <w:ind w:left="0" w:firstLine="0"/>
        <w:rPr>
          <w:b/>
          <w:bCs/>
          <w:sz w:val="22"/>
        </w:rPr>
      </w:pPr>
      <w:r w:rsidRPr="004916DF">
        <w:rPr>
          <w:b/>
          <w:bCs/>
          <w:sz w:val="22"/>
        </w:rPr>
        <w:t>Director of Operations</w:t>
      </w:r>
    </w:p>
    <w:p w:rsidRPr="004916DF" w:rsidR="00E1339B" w:rsidP="00E1339B" w:rsidRDefault="00E1339B" w14:paraId="6787B5AD" w14:textId="77777777">
      <w:pPr>
        <w:pStyle w:val="NoSpacing"/>
        <w:ind w:left="0" w:firstLine="0"/>
        <w:rPr>
          <w:b/>
          <w:bCs/>
          <w:sz w:val="22"/>
        </w:rPr>
      </w:pPr>
      <w:r w:rsidRPr="494C8810" w:rsidR="00E1339B">
        <w:rPr>
          <w:b w:val="1"/>
          <w:bCs w:val="1"/>
          <w:sz w:val="22"/>
          <w:szCs w:val="22"/>
        </w:rPr>
        <w:t xml:space="preserve">Higher Education Manager </w:t>
      </w:r>
    </w:p>
    <w:p w:rsidR="2D7944B3" w:rsidP="494C8810" w:rsidRDefault="00E1339B" w14:paraId="3D6D42AA" w14:textId="01089006">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494C8810" w:rsidR="22A66198">
        <w:rPr>
          <w:rFonts w:ascii="Calibri" w:hAnsi="Calibri" w:eastAsia="Calibri" w:cs="Calibri"/>
          <w:b w:val="1"/>
          <w:bCs w:val="1"/>
          <w:i w:val="0"/>
          <w:iCs w:val="0"/>
          <w:noProof w:val="0"/>
          <w:color w:val="000000" w:themeColor="text1" w:themeTint="FF" w:themeShade="FF"/>
          <w:sz w:val="22"/>
          <w:szCs w:val="22"/>
          <w:lang w:val="en-GB"/>
        </w:rPr>
        <w:t>Chief of Staff</w:t>
      </w:r>
    </w:p>
    <w:p w:rsidR="2D7944B3" w:rsidP="494C8810" w:rsidRDefault="00E1339B" w14:paraId="76B1CE40" w14:textId="61F602FE">
      <w:pPr>
        <w:pStyle w:val="Normal"/>
        <w:jc w:val="both"/>
        <w:rPr>
          <w:rFonts w:ascii="Calibri" w:hAnsi="Calibri" w:cs="Calibri"/>
          <w:b w:val="1"/>
          <w:bCs w:val="1"/>
          <w:sz w:val="22"/>
          <w:szCs w:val="22"/>
        </w:rPr>
      </w:pPr>
    </w:p>
    <w:p w:rsidR="00991CAC" w:rsidP="00E1339B" w:rsidRDefault="00991CAC" w14:paraId="74CBD7F0" w14:textId="4B27FDDC">
      <w:pPr>
        <w:jc w:val="both"/>
        <w:rPr>
          <w:rFonts w:cstheme="minorHAnsi"/>
        </w:rPr>
      </w:pPr>
    </w:p>
    <w:p w:rsidR="00991CAC" w:rsidP="00E1339B" w:rsidRDefault="00991CAC" w14:paraId="5842BB82" w14:textId="13205B39">
      <w:pPr>
        <w:jc w:val="both"/>
        <w:rPr>
          <w:rFonts w:cstheme="minorHAnsi"/>
        </w:rPr>
      </w:pPr>
    </w:p>
    <w:p w:rsidR="00991CAC" w:rsidP="00E1339B" w:rsidRDefault="00991CAC" w14:paraId="5B5849E2" w14:textId="65175B6F">
      <w:pPr>
        <w:jc w:val="both"/>
        <w:rPr>
          <w:rFonts w:cstheme="minorHAnsi"/>
        </w:rPr>
      </w:pPr>
    </w:p>
    <w:p w:rsidR="00991CAC" w:rsidP="00E1339B" w:rsidRDefault="00991CAC" w14:paraId="4C1BA696" w14:textId="5BD2AC98">
      <w:pPr>
        <w:jc w:val="both"/>
        <w:rPr>
          <w:rFonts w:cstheme="minorHAnsi"/>
        </w:rPr>
      </w:pPr>
    </w:p>
    <w:p w:rsidR="00991CAC" w:rsidP="00E1339B" w:rsidRDefault="00991CAC" w14:paraId="3C3436D5" w14:textId="3A286DA2">
      <w:pPr>
        <w:jc w:val="both"/>
        <w:rPr>
          <w:rFonts w:cstheme="minorHAnsi"/>
        </w:rPr>
      </w:pPr>
    </w:p>
    <w:p w:rsidR="00991CAC" w:rsidP="00E1339B" w:rsidRDefault="00991CAC" w14:paraId="3C02BB0A" w14:textId="4FCE4AA5">
      <w:pPr>
        <w:jc w:val="both"/>
        <w:rPr>
          <w:rFonts w:cstheme="minorHAnsi"/>
        </w:rPr>
      </w:pPr>
    </w:p>
    <w:p w:rsidR="00991CAC" w:rsidP="00E1339B" w:rsidRDefault="00991CAC" w14:paraId="381277E1" w14:textId="378DC7B5">
      <w:pPr>
        <w:jc w:val="both"/>
        <w:rPr>
          <w:rFonts w:cstheme="minorHAnsi"/>
        </w:rPr>
      </w:pPr>
    </w:p>
    <w:p w:rsidR="00991CAC" w:rsidP="00E1339B" w:rsidRDefault="00991CAC" w14:paraId="553343D8" w14:textId="2ABE8E2F">
      <w:pPr>
        <w:jc w:val="both"/>
        <w:rPr>
          <w:rFonts w:cstheme="minorHAnsi"/>
        </w:rPr>
      </w:pPr>
    </w:p>
    <w:p w:rsidR="00991CAC" w:rsidP="00E1339B" w:rsidRDefault="00991CAC" w14:paraId="6B617D4F" w14:textId="1611308B">
      <w:pPr>
        <w:jc w:val="both"/>
        <w:rPr>
          <w:rFonts w:cstheme="minorHAnsi"/>
        </w:rPr>
      </w:pPr>
    </w:p>
    <w:p w:rsidR="00991CAC" w:rsidP="00E1339B" w:rsidRDefault="00991CAC" w14:paraId="2C800D41" w14:textId="47893866">
      <w:pPr>
        <w:jc w:val="both"/>
        <w:rPr>
          <w:rFonts w:cstheme="minorHAnsi"/>
        </w:rPr>
      </w:pPr>
    </w:p>
    <w:p w:rsidR="00991CAC" w:rsidP="00E1339B" w:rsidRDefault="00991CAC" w14:paraId="76458D53" w14:textId="654B950C">
      <w:pPr>
        <w:jc w:val="both"/>
        <w:rPr>
          <w:rFonts w:cstheme="minorHAnsi"/>
        </w:rPr>
      </w:pPr>
    </w:p>
    <w:p w:rsidR="00991CAC" w:rsidP="00E1339B" w:rsidRDefault="00991CAC" w14:paraId="1FA1DCC8" w14:textId="1F9F9BF5">
      <w:pPr>
        <w:jc w:val="both"/>
        <w:rPr>
          <w:rFonts w:cstheme="minorHAnsi"/>
        </w:rPr>
      </w:pPr>
    </w:p>
    <w:p w:rsidR="00991CAC" w:rsidP="00E1339B" w:rsidRDefault="00991CAC" w14:paraId="492EBB6D" w14:textId="20D931FF">
      <w:pPr>
        <w:jc w:val="both"/>
        <w:rPr>
          <w:rFonts w:cstheme="minorHAnsi"/>
        </w:rPr>
      </w:pPr>
    </w:p>
    <w:p w:rsidR="00991CAC" w:rsidP="00E1339B" w:rsidRDefault="00991CAC" w14:paraId="475FBE9B" w14:textId="3F201846">
      <w:pPr>
        <w:jc w:val="both"/>
        <w:rPr>
          <w:rFonts w:cstheme="minorHAnsi"/>
        </w:rPr>
      </w:pPr>
    </w:p>
    <w:p w:rsidRPr="00991CAC" w:rsidR="001A6E68" w:rsidP="00E1339B" w:rsidRDefault="001A6E68" w14:paraId="1E0A9F54" w14:textId="2A136F79">
      <w:pPr>
        <w:jc w:val="both"/>
        <w:rPr>
          <w:rFonts w:cstheme="minorHAnsi"/>
          <w:b/>
          <w:bCs/>
        </w:rPr>
      </w:pPr>
      <w:r w:rsidRPr="00991CAC">
        <w:rPr>
          <w:rFonts w:cstheme="minorHAnsi"/>
          <w:b/>
          <w:bCs/>
        </w:rPr>
        <w:t>Overview and Context</w:t>
      </w:r>
    </w:p>
    <w:bookmarkEnd w:id="0"/>
    <w:p w:rsidRPr="00991CAC" w:rsidR="001A6E68" w:rsidP="00E1339B" w:rsidRDefault="001A6E68" w14:paraId="46A84FFF" w14:textId="16061C57">
      <w:pPr>
        <w:jc w:val="both"/>
        <w:rPr>
          <w:rFonts w:cstheme="minorHAnsi"/>
        </w:rPr>
      </w:pPr>
    </w:p>
    <w:p w:rsidRPr="00991CAC" w:rsidR="00E94540" w:rsidP="00E1339B" w:rsidRDefault="00455D77" w14:paraId="49558408" w14:textId="6A7AA362">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 xml:space="preserve">City College strives to deliver the highest standard of teaching learning and assessment to each of its students and aims to uphold the integrity of </w:t>
      </w:r>
      <w:r w:rsidRPr="00991CAC" w:rsidR="00E1339B">
        <w:rPr>
          <w:rStyle w:val="normaltextrun"/>
          <w:rFonts w:cstheme="minorHAnsi"/>
          <w:color w:val="000000"/>
          <w:shd w:val="clear" w:color="auto" w:fill="FFFFFF"/>
        </w:rPr>
        <w:t>all</w:t>
      </w:r>
      <w:r w:rsidRPr="00991CAC">
        <w:rPr>
          <w:rStyle w:val="normaltextrun"/>
          <w:rFonts w:cstheme="minorHAnsi"/>
          <w:color w:val="000000"/>
          <w:shd w:val="clear" w:color="auto" w:fill="FFFFFF"/>
        </w:rPr>
        <w:t xml:space="preserve"> </w:t>
      </w:r>
      <w:r w:rsidR="00E1339B">
        <w:rPr>
          <w:rStyle w:val="normaltextrun"/>
          <w:rFonts w:cstheme="minorHAnsi"/>
          <w:color w:val="000000"/>
          <w:shd w:val="clear" w:color="auto" w:fill="FFFFFF"/>
        </w:rPr>
        <w:t>programmes</w:t>
      </w:r>
      <w:r w:rsidRPr="00991CAC">
        <w:rPr>
          <w:rStyle w:val="normaltextrun"/>
          <w:rFonts w:cstheme="minorHAnsi"/>
          <w:color w:val="000000"/>
          <w:shd w:val="clear" w:color="auto" w:fill="FFFFFF"/>
        </w:rPr>
        <w:t xml:space="preserve"> delivered. The College recognises the importance of continuity in learning and the risks posed to continuity through a national or regional Covid-19 lockdown</w:t>
      </w:r>
      <w:r w:rsidRPr="00991CAC" w:rsidR="00E94540">
        <w:rPr>
          <w:rStyle w:val="normaltextrun"/>
          <w:rFonts w:cstheme="minorHAnsi"/>
          <w:color w:val="000000"/>
          <w:shd w:val="clear" w:color="auto" w:fill="FFFFFF"/>
        </w:rPr>
        <w:t xml:space="preserve">. To manage these associated risks, the College took the decision to organise delivery of all </w:t>
      </w:r>
      <w:r w:rsidR="00E1339B">
        <w:rPr>
          <w:rStyle w:val="normaltextrun"/>
          <w:rFonts w:cstheme="minorHAnsi"/>
          <w:color w:val="000000"/>
          <w:shd w:val="clear" w:color="auto" w:fill="FFFFFF"/>
        </w:rPr>
        <w:t>programme</w:t>
      </w:r>
      <w:r w:rsidRPr="00991CAC" w:rsidR="00E94540">
        <w:rPr>
          <w:rStyle w:val="normaltextrun"/>
          <w:rFonts w:cstheme="minorHAnsi"/>
          <w:color w:val="000000"/>
          <w:shd w:val="clear" w:color="auto" w:fill="FFFFFF"/>
        </w:rPr>
        <w:t>s through a blended learning platform for the academic year 20/21. Planned student engagement is outlined below in table 1.</w:t>
      </w:r>
    </w:p>
    <w:p w:rsidRPr="00991CAC" w:rsidR="00E94540" w:rsidP="00E1339B" w:rsidRDefault="00E94540" w14:paraId="02F9F27F" w14:textId="77777777">
      <w:pPr>
        <w:jc w:val="both"/>
        <w:rPr>
          <w:rStyle w:val="normaltextrun"/>
          <w:rFonts w:cstheme="minorHAnsi"/>
          <w:color w:val="000000"/>
          <w:shd w:val="clear" w:color="auto" w:fill="FFFFFF"/>
        </w:rPr>
      </w:pPr>
    </w:p>
    <w:p w:rsidRPr="00991CAC" w:rsidR="00455D77" w:rsidP="00E1339B" w:rsidRDefault="00455D77" w14:paraId="071D6F71" w14:textId="4CBC8A39">
      <w:pPr>
        <w:jc w:val="both"/>
        <w:rPr>
          <w:rStyle w:val="normaltextrun"/>
          <w:rFonts w:cstheme="minorHAnsi"/>
          <w:color w:val="000000"/>
          <w:shd w:val="clear" w:color="auto" w:fill="FFFFFF"/>
        </w:rPr>
      </w:pPr>
    </w:p>
    <w:tbl>
      <w:tblPr>
        <w:tblStyle w:val="TableGrid"/>
        <w:tblW w:w="0" w:type="auto"/>
        <w:tblLook w:val="04A0" w:firstRow="1" w:lastRow="0" w:firstColumn="1" w:lastColumn="0" w:noHBand="0" w:noVBand="1"/>
      </w:tblPr>
      <w:tblGrid>
        <w:gridCol w:w="1802"/>
        <w:gridCol w:w="1802"/>
        <w:gridCol w:w="1802"/>
        <w:gridCol w:w="1802"/>
        <w:gridCol w:w="1802"/>
      </w:tblGrid>
      <w:tr w:rsidRPr="00991CAC" w:rsidR="00E94540" w:rsidTr="00E94540" w14:paraId="7B3A5908" w14:textId="77777777">
        <w:tc>
          <w:tcPr>
            <w:tcW w:w="1802" w:type="dxa"/>
          </w:tcPr>
          <w:p w:rsidRPr="00991CAC" w:rsidR="00E94540" w:rsidP="00E1339B" w:rsidRDefault="00E1339B" w14:paraId="0EFE4AB6" w14:textId="52407951">
            <w:pPr>
              <w:jc w:val="both"/>
              <w:rPr>
                <w:rStyle w:val="normaltextrun"/>
                <w:rFonts w:cstheme="minorHAnsi"/>
                <w:color w:val="000000"/>
                <w:shd w:val="clear" w:color="auto" w:fill="FFFFFF"/>
              </w:rPr>
            </w:pPr>
            <w:r>
              <w:rPr>
                <w:rStyle w:val="normaltextrun"/>
                <w:rFonts w:cstheme="minorHAnsi"/>
                <w:color w:val="000000"/>
                <w:shd w:val="clear" w:color="auto" w:fill="FFFFFF"/>
              </w:rPr>
              <w:t>Programme</w:t>
            </w:r>
            <w:r w:rsidRPr="00991CAC" w:rsidR="00E94540">
              <w:rPr>
                <w:rStyle w:val="normaltextrun"/>
                <w:rFonts w:cstheme="minorHAnsi"/>
                <w:color w:val="000000"/>
                <w:shd w:val="clear" w:color="auto" w:fill="FFFFFF"/>
              </w:rPr>
              <w:t xml:space="preserve"> Title</w:t>
            </w:r>
          </w:p>
        </w:tc>
        <w:tc>
          <w:tcPr>
            <w:tcW w:w="1802" w:type="dxa"/>
          </w:tcPr>
          <w:p w:rsidRPr="00991CAC" w:rsidR="00E94540" w:rsidP="00E1339B" w:rsidRDefault="00E94540" w14:paraId="4C84E2C9" w14:textId="6E808EAF">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Live Online</w:t>
            </w:r>
          </w:p>
        </w:tc>
        <w:tc>
          <w:tcPr>
            <w:tcW w:w="1802" w:type="dxa"/>
          </w:tcPr>
          <w:p w:rsidRPr="00991CAC" w:rsidR="00E94540" w:rsidP="00E1339B" w:rsidRDefault="00E94540" w14:paraId="414DF4CA" w14:textId="6064A592">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Online Tutorial</w:t>
            </w:r>
          </w:p>
        </w:tc>
        <w:tc>
          <w:tcPr>
            <w:tcW w:w="1802" w:type="dxa"/>
          </w:tcPr>
          <w:p w:rsidRPr="00991CAC" w:rsidR="00E94540" w:rsidP="00E1339B" w:rsidRDefault="00E94540" w14:paraId="20FD1B7A" w14:textId="6D6470F2">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Online Independent Study</w:t>
            </w:r>
          </w:p>
        </w:tc>
        <w:tc>
          <w:tcPr>
            <w:tcW w:w="1802" w:type="dxa"/>
          </w:tcPr>
          <w:p w:rsidRPr="00991CAC" w:rsidR="00E94540" w:rsidP="00E1339B" w:rsidRDefault="00721475" w14:paraId="2913E4B9" w14:textId="101DAAB1">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 xml:space="preserve">Additional </w:t>
            </w:r>
            <w:r w:rsidRPr="00991CAC" w:rsidR="00E94540">
              <w:rPr>
                <w:rStyle w:val="normaltextrun"/>
                <w:rFonts w:cstheme="minorHAnsi"/>
                <w:color w:val="000000"/>
                <w:shd w:val="clear" w:color="auto" w:fill="FFFFFF"/>
              </w:rPr>
              <w:t>Work Experience</w:t>
            </w:r>
            <w:r w:rsidRPr="00991CAC">
              <w:rPr>
                <w:rStyle w:val="normaltextrun"/>
                <w:rFonts w:cstheme="minorHAnsi"/>
                <w:color w:val="000000"/>
                <w:shd w:val="clear" w:color="auto" w:fill="FFFFFF"/>
              </w:rPr>
              <w:t xml:space="preserve"> hours</w:t>
            </w:r>
          </w:p>
        </w:tc>
      </w:tr>
      <w:tr w:rsidRPr="00991CAC" w:rsidR="00721475" w:rsidTr="00E94540" w14:paraId="0CDB9BE4" w14:textId="77777777">
        <w:tc>
          <w:tcPr>
            <w:tcW w:w="1802" w:type="dxa"/>
          </w:tcPr>
          <w:p w:rsidRPr="00991CAC" w:rsidR="00721475" w:rsidP="00E1339B" w:rsidRDefault="00721475" w14:paraId="08768138" w14:textId="455547AD">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HNC Business</w:t>
            </w:r>
          </w:p>
        </w:tc>
        <w:tc>
          <w:tcPr>
            <w:tcW w:w="1802" w:type="dxa"/>
          </w:tcPr>
          <w:p w:rsidRPr="00991CAC" w:rsidR="00721475" w:rsidP="00E1339B" w:rsidRDefault="00721475" w14:paraId="4547F7D1" w14:textId="529A5BD4">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66%</w:t>
            </w:r>
          </w:p>
        </w:tc>
        <w:tc>
          <w:tcPr>
            <w:tcW w:w="1802" w:type="dxa"/>
          </w:tcPr>
          <w:p w:rsidRPr="00991CAC" w:rsidR="00721475" w:rsidP="00E1339B" w:rsidRDefault="00721475" w14:paraId="421F1772" w14:textId="06C1B55A">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10%</w:t>
            </w:r>
          </w:p>
        </w:tc>
        <w:tc>
          <w:tcPr>
            <w:tcW w:w="1802" w:type="dxa"/>
          </w:tcPr>
          <w:p w:rsidRPr="00991CAC" w:rsidR="00721475" w:rsidP="00E1339B" w:rsidRDefault="00721475" w14:paraId="74FAE8C9" w14:textId="5056EF4C">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24%</w:t>
            </w:r>
          </w:p>
        </w:tc>
        <w:tc>
          <w:tcPr>
            <w:tcW w:w="1802" w:type="dxa"/>
          </w:tcPr>
          <w:p w:rsidRPr="00991CAC" w:rsidR="00721475" w:rsidP="00E1339B" w:rsidRDefault="00721475" w14:paraId="58C15B62" w14:textId="39813AE9">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0</w:t>
            </w:r>
          </w:p>
        </w:tc>
      </w:tr>
      <w:tr w:rsidRPr="00991CAC" w:rsidR="00721475" w:rsidTr="00E94540" w14:paraId="58C91750" w14:textId="77777777">
        <w:tc>
          <w:tcPr>
            <w:tcW w:w="1802" w:type="dxa"/>
          </w:tcPr>
          <w:p w:rsidRPr="00991CAC" w:rsidR="00721475" w:rsidP="00E1339B" w:rsidRDefault="00721475" w14:paraId="5FF832C6" w14:textId="3E8B5482">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HND Business</w:t>
            </w:r>
          </w:p>
        </w:tc>
        <w:tc>
          <w:tcPr>
            <w:tcW w:w="1802" w:type="dxa"/>
          </w:tcPr>
          <w:p w:rsidRPr="00991CAC" w:rsidR="00721475" w:rsidP="00E1339B" w:rsidRDefault="00721475" w14:paraId="4FC0B191" w14:textId="322719E4">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66%</w:t>
            </w:r>
          </w:p>
        </w:tc>
        <w:tc>
          <w:tcPr>
            <w:tcW w:w="1802" w:type="dxa"/>
          </w:tcPr>
          <w:p w:rsidRPr="00991CAC" w:rsidR="00721475" w:rsidP="00E1339B" w:rsidRDefault="00721475" w14:paraId="6C983F82" w14:textId="21190D28">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10%</w:t>
            </w:r>
          </w:p>
        </w:tc>
        <w:tc>
          <w:tcPr>
            <w:tcW w:w="1802" w:type="dxa"/>
          </w:tcPr>
          <w:p w:rsidRPr="00991CAC" w:rsidR="00721475" w:rsidP="00E1339B" w:rsidRDefault="00721475" w14:paraId="2E68E723" w14:textId="591A7C64">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24%</w:t>
            </w:r>
          </w:p>
        </w:tc>
        <w:tc>
          <w:tcPr>
            <w:tcW w:w="1802" w:type="dxa"/>
          </w:tcPr>
          <w:p w:rsidRPr="00991CAC" w:rsidR="00721475" w:rsidP="00E1339B" w:rsidRDefault="00721475" w14:paraId="0977ECEE" w14:textId="2DBDC793">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0</w:t>
            </w:r>
          </w:p>
        </w:tc>
      </w:tr>
      <w:tr w:rsidRPr="00991CAC" w:rsidR="00E94540" w:rsidTr="00E94540" w14:paraId="69BCF256" w14:textId="77777777">
        <w:tc>
          <w:tcPr>
            <w:tcW w:w="1802" w:type="dxa"/>
          </w:tcPr>
          <w:p w:rsidRPr="00991CAC" w:rsidR="00E94540" w:rsidP="00E1339B" w:rsidRDefault="00E94540" w14:paraId="35904263" w14:textId="3E657114">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HNC HCPE</w:t>
            </w:r>
          </w:p>
        </w:tc>
        <w:tc>
          <w:tcPr>
            <w:tcW w:w="1802" w:type="dxa"/>
          </w:tcPr>
          <w:p w:rsidRPr="00991CAC" w:rsidR="00E94540" w:rsidP="00E1339B" w:rsidRDefault="00721475" w14:paraId="7A4FA023" w14:textId="64250F9B">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66%</w:t>
            </w:r>
          </w:p>
        </w:tc>
        <w:tc>
          <w:tcPr>
            <w:tcW w:w="1802" w:type="dxa"/>
          </w:tcPr>
          <w:p w:rsidRPr="00991CAC" w:rsidR="00E94540" w:rsidP="00E1339B" w:rsidRDefault="00721475" w14:paraId="721900A3" w14:textId="1B027831">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10%</w:t>
            </w:r>
          </w:p>
        </w:tc>
        <w:tc>
          <w:tcPr>
            <w:tcW w:w="1802" w:type="dxa"/>
          </w:tcPr>
          <w:p w:rsidRPr="00991CAC" w:rsidR="00E94540" w:rsidP="00E1339B" w:rsidRDefault="00721475" w14:paraId="5BBF4631" w14:textId="72EC5B9D">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24%</w:t>
            </w:r>
          </w:p>
        </w:tc>
        <w:tc>
          <w:tcPr>
            <w:tcW w:w="1802" w:type="dxa"/>
          </w:tcPr>
          <w:p w:rsidRPr="00991CAC" w:rsidR="00E94540" w:rsidP="00E1339B" w:rsidRDefault="00721475" w14:paraId="53F499CB" w14:textId="6740BC35">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225</w:t>
            </w:r>
          </w:p>
        </w:tc>
      </w:tr>
      <w:tr w:rsidRPr="00991CAC" w:rsidR="00721475" w:rsidTr="00E94540" w14:paraId="61C7D824" w14:textId="77777777">
        <w:tc>
          <w:tcPr>
            <w:tcW w:w="1802" w:type="dxa"/>
          </w:tcPr>
          <w:p w:rsidRPr="00991CAC" w:rsidR="00721475" w:rsidP="00E1339B" w:rsidRDefault="00721475" w14:paraId="7FA67EE7" w14:textId="157001B2">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HND HCPE</w:t>
            </w:r>
          </w:p>
        </w:tc>
        <w:tc>
          <w:tcPr>
            <w:tcW w:w="1802" w:type="dxa"/>
          </w:tcPr>
          <w:p w:rsidRPr="00991CAC" w:rsidR="00721475" w:rsidP="00E1339B" w:rsidRDefault="00721475" w14:paraId="315F62D9" w14:textId="1B6F203A">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66%</w:t>
            </w:r>
          </w:p>
        </w:tc>
        <w:tc>
          <w:tcPr>
            <w:tcW w:w="1802" w:type="dxa"/>
          </w:tcPr>
          <w:p w:rsidRPr="00991CAC" w:rsidR="00721475" w:rsidP="00E1339B" w:rsidRDefault="00721475" w14:paraId="335FED48" w14:textId="11341F26">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10%</w:t>
            </w:r>
          </w:p>
        </w:tc>
        <w:tc>
          <w:tcPr>
            <w:tcW w:w="1802" w:type="dxa"/>
          </w:tcPr>
          <w:p w:rsidRPr="00991CAC" w:rsidR="00721475" w:rsidP="00E1339B" w:rsidRDefault="00721475" w14:paraId="021EC3D1" w14:textId="179BB2A0">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24%</w:t>
            </w:r>
          </w:p>
        </w:tc>
        <w:tc>
          <w:tcPr>
            <w:tcW w:w="1802" w:type="dxa"/>
          </w:tcPr>
          <w:p w:rsidRPr="00991CAC" w:rsidR="00721475" w:rsidP="00E1339B" w:rsidRDefault="00721475" w14:paraId="714AE88A" w14:textId="422B00FD">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225</w:t>
            </w:r>
          </w:p>
        </w:tc>
      </w:tr>
    </w:tbl>
    <w:p w:rsidRPr="00991CAC" w:rsidR="00E94540" w:rsidP="00E1339B" w:rsidRDefault="00E94540" w14:paraId="780F9A53" w14:textId="77777777">
      <w:pPr>
        <w:jc w:val="both"/>
        <w:rPr>
          <w:rStyle w:val="normaltextrun"/>
          <w:rFonts w:cstheme="minorHAnsi"/>
          <w:color w:val="000000"/>
          <w:shd w:val="clear" w:color="auto" w:fill="FFFFFF"/>
        </w:rPr>
      </w:pPr>
    </w:p>
    <w:p w:rsidRPr="00991CAC" w:rsidR="00F23C7C" w:rsidP="00E1339B" w:rsidRDefault="00F23C7C" w14:paraId="25F43ED1" w14:textId="261AAE05">
      <w:pPr>
        <w:jc w:val="both"/>
        <w:rPr>
          <w:rStyle w:val="normaltextrun"/>
          <w:rFonts w:cstheme="minorHAnsi"/>
          <w:color w:val="000000"/>
          <w:shd w:val="clear" w:color="auto" w:fill="FFFFFF"/>
        </w:rPr>
      </w:pPr>
    </w:p>
    <w:p w:rsidRPr="00991CAC" w:rsidR="00C0081C" w:rsidP="00E1339B" w:rsidRDefault="00C0081C" w14:paraId="64B67107" w14:textId="7293B06A">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 xml:space="preserve">All </w:t>
      </w:r>
      <w:r w:rsidR="00E1339B">
        <w:rPr>
          <w:rStyle w:val="normaltextrun"/>
          <w:rFonts w:cstheme="minorHAnsi"/>
          <w:color w:val="000000"/>
          <w:shd w:val="clear" w:color="auto" w:fill="FFFFFF"/>
        </w:rPr>
        <w:t>programmes</w:t>
      </w:r>
      <w:r w:rsidRPr="00991CAC">
        <w:rPr>
          <w:rStyle w:val="normaltextrun"/>
          <w:rFonts w:cstheme="minorHAnsi"/>
          <w:color w:val="000000"/>
          <w:shd w:val="clear" w:color="auto" w:fill="FFFFFF"/>
        </w:rPr>
        <w:t xml:space="preserve"> were marketed as blended learning. Students ability to participate Live Online and engage with Independent Study was assessed during application and interview. All induction activities took place Live Online and access support is available through the College Student Support workers.</w:t>
      </w:r>
    </w:p>
    <w:p w:rsidRPr="00991CAC" w:rsidR="00C0081C" w:rsidP="00E1339B" w:rsidRDefault="00C0081C" w14:paraId="26057000" w14:textId="77777777">
      <w:pPr>
        <w:jc w:val="both"/>
        <w:rPr>
          <w:rStyle w:val="normaltextrun"/>
          <w:rFonts w:cstheme="minorHAnsi"/>
          <w:color w:val="000000"/>
          <w:shd w:val="clear" w:color="auto" w:fill="FFFFFF"/>
        </w:rPr>
      </w:pPr>
    </w:p>
    <w:p w:rsidRPr="00991CAC" w:rsidR="00F23C7C" w:rsidP="00E1339B" w:rsidRDefault="00E94540" w14:paraId="6892C457" w14:textId="6F74364E">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 xml:space="preserve">Live Online activities are all delivered through MS Teams. Each student is equipped with an MS 365 account with links, How To Videos and Student Support, guiding them how to manage the account and access the College services. </w:t>
      </w:r>
      <w:r w:rsidRPr="00991CAC" w:rsidR="00E52975">
        <w:rPr>
          <w:rStyle w:val="normaltextrun"/>
          <w:rFonts w:cstheme="minorHAnsi"/>
          <w:color w:val="000000"/>
          <w:shd w:val="clear" w:color="auto" w:fill="FFFFFF"/>
        </w:rPr>
        <w:t>Attendance Live Online during timetables sessions is compulsory and only a ‘Present’ or ‘Off-site’ mark is considered as a positive attendance.</w:t>
      </w:r>
    </w:p>
    <w:p w:rsidRPr="00991CAC" w:rsidR="00E52975" w:rsidP="00E1339B" w:rsidRDefault="00E52975" w14:paraId="0E1785D1" w14:textId="37755E0C">
      <w:pPr>
        <w:jc w:val="both"/>
        <w:rPr>
          <w:rStyle w:val="normaltextrun"/>
          <w:rFonts w:cstheme="minorHAnsi"/>
          <w:color w:val="000000"/>
          <w:shd w:val="clear" w:color="auto" w:fill="FFFFFF"/>
        </w:rPr>
      </w:pPr>
    </w:p>
    <w:p w:rsidRPr="00991CAC" w:rsidR="00E52975" w:rsidP="00E1339B" w:rsidRDefault="00E52975" w14:paraId="2CA5B1E6" w14:textId="50A76C16">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 xml:space="preserve">Live Online involves a variety of activity, aimed at engaging City College students. Lectures do take </w:t>
      </w:r>
      <w:r w:rsidRPr="00991CAC" w:rsidR="00E1339B">
        <w:rPr>
          <w:rStyle w:val="normaltextrun"/>
          <w:rFonts w:cstheme="minorHAnsi"/>
          <w:color w:val="000000"/>
          <w:shd w:val="clear" w:color="auto" w:fill="FFFFFF"/>
        </w:rPr>
        <w:t>place;</w:t>
      </w:r>
      <w:r w:rsidRPr="00991CAC">
        <w:rPr>
          <w:rStyle w:val="normaltextrun"/>
          <w:rFonts w:cstheme="minorHAnsi"/>
          <w:color w:val="000000"/>
          <w:shd w:val="clear" w:color="auto" w:fill="FFFFFF"/>
        </w:rPr>
        <w:t xml:space="preserve"> however, City College recognises that long periods of interaction are detrimental to learning. Live Online therefore includes group activities, questioning, quizzes, collaborative group work and student presentations</w:t>
      </w:r>
    </w:p>
    <w:p w:rsidRPr="00991CAC" w:rsidR="00E94540" w:rsidP="00E1339B" w:rsidRDefault="00E94540" w14:paraId="18E84EF4" w14:textId="2329B71E">
      <w:pPr>
        <w:jc w:val="both"/>
        <w:rPr>
          <w:rStyle w:val="normaltextrun"/>
          <w:rFonts w:cstheme="minorHAnsi"/>
          <w:color w:val="000000"/>
          <w:shd w:val="clear" w:color="auto" w:fill="FFFFFF"/>
        </w:rPr>
      </w:pPr>
    </w:p>
    <w:p w:rsidRPr="00991CAC" w:rsidR="00E94540" w:rsidP="00E1339B" w:rsidRDefault="00E94540" w14:paraId="1262B086" w14:textId="1E17044A">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Student MS 365 activity is integrated within the College Virtual Learning Environment</w:t>
      </w:r>
      <w:r w:rsidR="00E1339B">
        <w:rPr>
          <w:rStyle w:val="normaltextrun"/>
          <w:rFonts w:cstheme="minorHAnsi"/>
          <w:color w:val="000000"/>
          <w:shd w:val="clear" w:color="auto" w:fill="FFFFFF"/>
        </w:rPr>
        <w:t xml:space="preserve"> (VLE)</w:t>
      </w:r>
      <w:r w:rsidRPr="00991CAC">
        <w:rPr>
          <w:rStyle w:val="normaltextrun"/>
          <w:rFonts w:cstheme="minorHAnsi"/>
          <w:color w:val="000000"/>
          <w:shd w:val="clear" w:color="auto" w:fill="FFFFFF"/>
        </w:rPr>
        <w:t xml:space="preserve">, ‘Canvas’, which houses all Independent Study materials. Students can also access their Leicester College Moodle and </w:t>
      </w:r>
      <w:r w:rsidRPr="00991CAC" w:rsidR="00C0081C">
        <w:rPr>
          <w:rStyle w:val="normaltextrun"/>
          <w:rFonts w:cstheme="minorHAnsi"/>
          <w:color w:val="000000"/>
          <w:shd w:val="clear" w:color="auto" w:fill="FFFFFF"/>
        </w:rPr>
        <w:t>Library services through Canvas.</w:t>
      </w:r>
    </w:p>
    <w:p w:rsidRPr="00991CAC" w:rsidR="00C0081C" w:rsidP="00E1339B" w:rsidRDefault="00C0081C" w14:paraId="6F1FDFA1" w14:textId="34D3086B">
      <w:pPr>
        <w:jc w:val="both"/>
        <w:rPr>
          <w:rStyle w:val="normaltextrun"/>
          <w:rFonts w:cstheme="minorHAnsi"/>
          <w:color w:val="000000"/>
          <w:shd w:val="clear" w:color="auto" w:fill="FFFFFF"/>
        </w:rPr>
      </w:pPr>
    </w:p>
    <w:p w:rsidRPr="00991CAC" w:rsidR="00C0081C" w:rsidP="00E1339B" w:rsidRDefault="00C0081C" w14:paraId="1EF6BE20" w14:textId="7E1FD0D0">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Both formative and summative assessment activities are managed through Canvas from where students can access feedback and submit assessments through the Turn It In app.</w:t>
      </w:r>
    </w:p>
    <w:p w:rsidRPr="00991CAC" w:rsidR="00C0081C" w:rsidP="00E1339B" w:rsidRDefault="00C0081C" w14:paraId="259AA643" w14:textId="38E924FE">
      <w:pPr>
        <w:jc w:val="both"/>
        <w:rPr>
          <w:rStyle w:val="normaltextrun"/>
          <w:rFonts w:cstheme="minorHAnsi"/>
          <w:color w:val="000000"/>
          <w:shd w:val="clear" w:color="auto" w:fill="FFFFFF"/>
        </w:rPr>
      </w:pPr>
    </w:p>
    <w:p w:rsidRPr="00991CAC" w:rsidR="00721475" w:rsidP="00E1339B" w:rsidRDefault="00C0081C" w14:paraId="678535E3" w14:textId="77777777">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 xml:space="preserve">Summative assessments are written to support a breadth of different assessment methods for each task that could include written work, verbally recorded work, professional discussions, presentations and witness testimony. </w:t>
      </w:r>
    </w:p>
    <w:p w:rsidRPr="00991CAC" w:rsidR="00721475" w:rsidP="00E1339B" w:rsidRDefault="00721475" w14:paraId="1B32405B" w14:textId="77777777">
      <w:pPr>
        <w:jc w:val="both"/>
        <w:rPr>
          <w:rStyle w:val="normaltextrun"/>
          <w:rFonts w:cstheme="minorHAnsi"/>
          <w:color w:val="000000"/>
          <w:shd w:val="clear" w:color="auto" w:fill="FFFFFF"/>
        </w:rPr>
      </w:pPr>
    </w:p>
    <w:p w:rsidRPr="00991CAC" w:rsidR="00C0081C" w:rsidP="00E1339B" w:rsidRDefault="00721475" w14:paraId="633CF724" w14:textId="51F6D7D6">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 xml:space="preserve">Students participating in research activity will either complete their research through online platforms and media or conduct research within the safety of existing ‘bubbles’ </w:t>
      </w:r>
    </w:p>
    <w:p w:rsidRPr="00991CAC" w:rsidR="00E52975" w:rsidP="00E1339B" w:rsidRDefault="00E52975" w14:paraId="066C604A" w14:textId="06B6A199">
      <w:pPr>
        <w:jc w:val="both"/>
        <w:rPr>
          <w:rStyle w:val="normaltextrun"/>
          <w:rFonts w:cstheme="minorHAnsi"/>
          <w:color w:val="000000"/>
          <w:shd w:val="clear" w:color="auto" w:fill="FFFFFF"/>
        </w:rPr>
      </w:pPr>
    </w:p>
    <w:p w:rsidRPr="00991CAC" w:rsidR="00E52975" w:rsidP="00E1339B" w:rsidRDefault="00E52975" w14:paraId="27620C3A" w14:textId="151EE3A2">
      <w:pPr>
        <w:jc w:val="both"/>
        <w:rPr>
          <w:rStyle w:val="normaltextrun"/>
          <w:rFonts w:cstheme="minorHAnsi"/>
          <w:color w:val="000000"/>
          <w:shd w:val="clear" w:color="auto" w:fill="FFFFFF"/>
        </w:rPr>
      </w:pPr>
      <w:r w:rsidRPr="00991CAC">
        <w:rPr>
          <w:rStyle w:val="normaltextrun"/>
          <w:rFonts w:cstheme="minorHAnsi"/>
          <w:color w:val="000000"/>
          <w:shd w:val="clear" w:color="auto" w:fill="FFFFFF"/>
        </w:rPr>
        <w:t>Given the occupational requirements of the Healthcare Practice for England courses</w:t>
      </w:r>
      <w:r w:rsidR="00E1339B">
        <w:rPr>
          <w:rStyle w:val="normaltextrun"/>
          <w:rFonts w:cstheme="minorHAnsi"/>
          <w:color w:val="000000"/>
          <w:shd w:val="clear" w:color="auto" w:fill="FFFFFF"/>
        </w:rPr>
        <w:t xml:space="preserve">, </w:t>
      </w:r>
      <w:r w:rsidRPr="00991CAC">
        <w:rPr>
          <w:rStyle w:val="normaltextrun"/>
          <w:rFonts w:cstheme="minorHAnsi"/>
          <w:color w:val="000000"/>
          <w:shd w:val="clear" w:color="auto" w:fill="FFFFFF"/>
        </w:rPr>
        <w:t>City College have further adjusted formal assessments to support students in achieving their full qualification</w:t>
      </w:r>
      <w:r w:rsidRPr="00991CAC" w:rsidR="00A43427">
        <w:rPr>
          <w:rStyle w:val="normaltextrun"/>
          <w:rFonts w:cstheme="minorHAnsi"/>
          <w:color w:val="000000"/>
          <w:shd w:val="clear" w:color="auto" w:fill="FFFFFF"/>
        </w:rPr>
        <w:t xml:space="preserve"> and precluded any requirement for College staff to complete eyewitness observations. Work experience hours are mandatory for students and recorded in the students Personal Learning </w:t>
      </w:r>
      <w:r w:rsidRPr="00991CAC" w:rsidR="00695287">
        <w:rPr>
          <w:rStyle w:val="normaltextrun"/>
          <w:rFonts w:cstheme="minorHAnsi"/>
          <w:color w:val="000000"/>
          <w:shd w:val="clear" w:color="auto" w:fill="FFFFFF"/>
        </w:rPr>
        <w:t>Assessment and Development (PLAD) workbook</w:t>
      </w:r>
    </w:p>
    <w:p w:rsidRPr="00991CAC" w:rsidR="00C0081C" w:rsidP="00E1339B" w:rsidRDefault="00C0081C" w14:paraId="4154A3B9" w14:textId="77777777">
      <w:pPr>
        <w:jc w:val="both"/>
        <w:rPr>
          <w:rStyle w:val="normaltextrun"/>
          <w:rFonts w:cstheme="minorHAnsi"/>
          <w:color w:val="000000"/>
          <w:shd w:val="clear" w:color="auto" w:fill="FFFFFF"/>
        </w:rPr>
      </w:pPr>
    </w:p>
    <w:p w:rsidRPr="00991CAC" w:rsidR="001A6E68" w:rsidP="00E1339B" w:rsidRDefault="00455D77" w14:paraId="3CC1A54C" w14:textId="37BA8B96">
      <w:pPr>
        <w:jc w:val="both"/>
        <w:rPr>
          <w:rFonts w:eastAsia="Calibri" w:cstheme="minorHAnsi"/>
          <w:b/>
          <w:bCs/>
          <w:lang w:val="en-US"/>
        </w:rPr>
      </w:pPr>
      <w:r w:rsidRPr="00991CAC">
        <w:rPr>
          <w:rFonts w:eastAsia="Calibri" w:cstheme="minorHAnsi"/>
          <w:b/>
          <w:bCs/>
          <w:lang w:val="en-US"/>
        </w:rPr>
        <w:t>Prevention R</w:t>
      </w:r>
      <w:r w:rsidRPr="00991CAC" w:rsidR="001A6E68">
        <w:rPr>
          <w:rFonts w:eastAsia="Calibri" w:cstheme="minorHAnsi"/>
          <w:b/>
          <w:bCs/>
          <w:lang w:val="en-US"/>
        </w:rPr>
        <w:t>oles and Responsibilities</w:t>
      </w:r>
    </w:p>
    <w:p w:rsidRPr="00991CAC" w:rsidR="001A6E68" w:rsidP="00E1339B" w:rsidRDefault="001A6E68" w14:paraId="379D09BE" w14:textId="545FB1E1">
      <w:pPr>
        <w:jc w:val="both"/>
        <w:rPr>
          <w:rFonts w:cstheme="minorHAnsi"/>
        </w:rPr>
      </w:pPr>
    </w:p>
    <w:p w:rsidRPr="00991CAC" w:rsidR="00AF55FD" w:rsidP="00E1339B" w:rsidRDefault="00AF55FD" w14:paraId="1C414ECE" w14:textId="7BB6CA46">
      <w:pPr>
        <w:jc w:val="both"/>
        <w:rPr>
          <w:rFonts w:cstheme="minorHAnsi"/>
        </w:rPr>
      </w:pPr>
      <w:r w:rsidRPr="00991CAC">
        <w:rPr>
          <w:rFonts w:cstheme="minorHAnsi"/>
        </w:rPr>
        <w:t>City College will endeavour to continue to maintain a presence on campus for as long as is reasonably practical and whilst government guidelines allow. Services offered face to face are</w:t>
      </w:r>
      <w:r w:rsidRPr="00991CAC" w:rsidR="00E94540">
        <w:rPr>
          <w:rFonts w:cstheme="minorHAnsi"/>
        </w:rPr>
        <w:t xml:space="preserve"> additional</w:t>
      </w:r>
      <w:r w:rsidRPr="00991CAC">
        <w:rPr>
          <w:rFonts w:cstheme="minorHAnsi"/>
        </w:rPr>
        <w:t xml:space="preserve"> tutorials and student access to the study centre. All other activity takes place ‘Live Online’</w:t>
      </w:r>
      <w:r w:rsidRPr="00991CAC" w:rsidR="00B73AA2">
        <w:rPr>
          <w:rFonts w:cstheme="minorHAnsi"/>
        </w:rPr>
        <w:t>.</w:t>
      </w:r>
    </w:p>
    <w:p w:rsidRPr="00991CAC" w:rsidR="00AF55FD" w:rsidP="00E1339B" w:rsidRDefault="00AF55FD" w14:paraId="0A77CB19" w14:textId="74B0AD1D">
      <w:pPr>
        <w:jc w:val="both"/>
        <w:rPr>
          <w:rFonts w:cstheme="minorHAnsi"/>
        </w:rPr>
      </w:pPr>
    </w:p>
    <w:p w:rsidRPr="00991CAC" w:rsidR="00B73AA2" w:rsidP="00E1339B" w:rsidRDefault="00B73AA2" w14:paraId="32DA1736" w14:textId="21B6B7E6">
      <w:pPr>
        <w:pStyle w:val="paragraph"/>
        <w:spacing w:before="0" w:beforeAutospacing="0" w:after="0" w:afterAutospacing="0"/>
        <w:jc w:val="both"/>
        <w:textAlignment w:val="baseline"/>
        <w:rPr>
          <w:rFonts w:asciiTheme="minorHAnsi" w:hAnsiTheme="minorHAnsi" w:cstheme="minorHAnsi"/>
        </w:rPr>
      </w:pPr>
      <w:r w:rsidRPr="00991CAC">
        <w:rPr>
          <w:rStyle w:val="normaltextrun"/>
          <w:rFonts w:asciiTheme="minorHAnsi" w:hAnsiTheme="minorHAnsi" w:cstheme="minorHAnsi"/>
          <w:lang w:val="en-US"/>
        </w:rPr>
        <w:t>City College provides information across its social media platforms and student newsletters to inform students and staff of College status and associated regulations and Personal Protective Equipment requirements</w:t>
      </w:r>
      <w:r w:rsidRPr="00991CAC">
        <w:rPr>
          <w:rStyle w:val="eop"/>
          <w:rFonts w:asciiTheme="minorHAnsi" w:hAnsiTheme="minorHAnsi" w:cstheme="minorHAnsi"/>
        </w:rPr>
        <w:t xml:space="preserve">. Students and staff are only able to enter the Campus if they have booked an appointment and completed the </w:t>
      </w:r>
      <w:hyperlink w:history="1" w:anchor="/school/tab::da204282-97bb-4aee-a34f-c546db64ddea/General?threadId=19:61dc78954f544059b4374efa5662b7c2@thread.tacv2&amp;ctx=channel" r:id="rId9">
        <w:r w:rsidRPr="00991CAC">
          <w:rPr>
            <w:rStyle w:val="Hyperlink"/>
            <w:rFonts w:asciiTheme="minorHAnsi" w:hAnsiTheme="minorHAnsi" w:cstheme="minorHAnsi"/>
          </w:rPr>
          <w:t>College Health Questionnaire</w:t>
        </w:r>
      </w:hyperlink>
      <w:r w:rsidRPr="00991CAC">
        <w:rPr>
          <w:rStyle w:val="eop"/>
          <w:rFonts w:asciiTheme="minorHAnsi" w:hAnsiTheme="minorHAnsi" w:cstheme="minorHAnsi"/>
        </w:rPr>
        <w:t>.</w:t>
      </w:r>
    </w:p>
    <w:p w:rsidRPr="00991CAC" w:rsidR="00B73AA2" w:rsidP="00E1339B" w:rsidRDefault="00B73AA2" w14:paraId="38EE2021" w14:textId="54E1DC67">
      <w:pPr>
        <w:pStyle w:val="paragraph"/>
        <w:spacing w:before="0" w:beforeAutospacing="0" w:after="0" w:afterAutospacing="0"/>
        <w:jc w:val="both"/>
        <w:textAlignment w:val="baseline"/>
        <w:rPr>
          <w:rFonts w:asciiTheme="minorHAnsi" w:hAnsiTheme="minorHAnsi" w:cstheme="minorHAnsi"/>
        </w:rPr>
      </w:pPr>
      <w:r w:rsidRPr="00991CAC">
        <w:rPr>
          <w:rStyle w:val="eop"/>
          <w:rFonts w:asciiTheme="minorHAnsi" w:hAnsiTheme="minorHAnsi" w:cstheme="minorHAnsi"/>
        </w:rPr>
        <w:t> </w:t>
      </w:r>
    </w:p>
    <w:p w:rsidRPr="00991CAC" w:rsidR="2D7944B3" w:rsidP="00E1339B" w:rsidRDefault="00B73AA2" w14:paraId="1173B3C2" w14:textId="24DCD2BD">
      <w:pPr>
        <w:jc w:val="both"/>
        <w:rPr>
          <w:rFonts w:cstheme="minorHAnsi"/>
        </w:rPr>
      </w:pPr>
      <w:r w:rsidRPr="00991CAC">
        <w:rPr>
          <w:rFonts w:eastAsia="Calibri" w:cstheme="minorHAnsi"/>
          <w:lang w:val="en-US"/>
        </w:rPr>
        <w:t>Whilst the College remains open, a</w:t>
      </w:r>
      <w:r w:rsidRPr="00991CAC" w:rsidR="2D7944B3">
        <w:rPr>
          <w:rFonts w:eastAsia="Calibri" w:cstheme="minorHAnsi"/>
          <w:lang w:val="en-US"/>
        </w:rPr>
        <w:t>cademic Teams will be split into two groups. It is the responsibility of the Higher Education Manager to manage these teams and for their scheduling to attend and maintain a presence in the College</w:t>
      </w:r>
      <w:r w:rsidRPr="00991CAC" w:rsidR="00455D77">
        <w:rPr>
          <w:rFonts w:eastAsia="Calibri" w:cstheme="minorHAnsi"/>
          <w:lang w:val="en-US"/>
        </w:rPr>
        <w:t xml:space="preserve"> if appropriate</w:t>
      </w:r>
      <w:r w:rsidRPr="00991CAC" w:rsidR="2D7944B3">
        <w:rPr>
          <w:rFonts w:eastAsia="Calibri" w:cstheme="minorHAnsi"/>
          <w:lang w:val="en-US"/>
        </w:rPr>
        <w:t xml:space="preserve">. </w:t>
      </w:r>
    </w:p>
    <w:p w:rsidRPr="00991CAC" w:rsidR="2D7944B3" w:rsidP="00E1339B" w:rsidRDefault="2D7944B3" w14:paraId="44C15EDA" w14:textId="6E757760">
      <w:pPr>
        <w:jc w:val="both"/>
        <w:rPr>
          <w:rFonts w:cstheme="minorHAnsi"/>
        </w:rPr>
      </w:pPr>
      <w:r w:rsidRPr="00991CAC">
        <w:rPr>
          <w:rFonts w:eastAsia="Calibri" w:cstheme="minorHAnsi"/>
          <w:lang w:val="en-US"/>
        </w:rPr>
        <w:t xml:space="preserve"> </w:t>
      </w:r>
    </w:p>
    <w:p w:rsidRPr="00991CAC" w:rsidR="2D7944B3" w:rsidP="00E1339B" w:rsidRDefault="2D7944B3" w14:paraId="24FCAA87" w14:textId="0B1D3FB8">
      <w:pPr>
        <w:jc w:val="both"/>
        <w:rPr>
          <w:rFonts w:cstheme="minorHAnsi"/>
        </w:rPr>
      </w:pPr>
      <w:r w:rsidRPr="00991CAC">
        <w:rPr>
          <w:rFonts w:eastAsia="Calibri" w:cstheme="minorHAnsi"/>
          <w:lang w:val="en-US"/>
        </w:rPr>
        <w:t xml:space="preserve">Admin, Marketing, Admissions and Facilities will also be split into two groups, and it is the responsibility of the </w:t>
      </w:r>
      <w:r w:rsidRPr="00991CAC" w:rsidR="00B73AA2">
        <w:rPr>
          <w:rFonts w:eastAsia="Calibri" w:cstheme="minorHAnsi"/>
          <w:lang w:val="en-US"/>
        </w:rPr>
        <w:t>Operation Director</w:t>
      </w:r>
      <w:r w:rsidRPr="00991CAC">
        <w:rPr>
          <w:rFonts w:eastAsia="Calibri" w:cstheme="minorHAnsi"/>
          <w:lang w:val="en-US"/>
        </w:rPr>
        <w:t xml:space="preserve"> to manage the teams and their scheduling to maintain a presence in the College.</w:t>
      </w:r>
    </w:p>
    <w:p w:rsidRPr="00991CAC" w:rsidR="2D7944B3" w:rsidP="00E1339B" w:rsidRDefault="2D7944B3" w14:paraId="050420F1" w14:textId="3906EF5C">
      <w:pPr>
        <w:jc w:val="both"/>
        <w:rPr>
          <w:rFonts w:cstheme="minorHAnsi"/>
        </w:rPr>
      </w:pPr>
      <w:r w:rsidRPr="00991CAC">
        <w:rPr>
          <w:rFonts w:eastAsia="Calibri" w:cstheme="minorHAnsi"/>
          <w:lang w:val="en-US"/>
        </w:rPr>
        <w:t xml:space="preserve"> </w:t>
      </w:r>
    </w:p>
    <w:p w:rsidRPr="00991CAC" w:rsidR="2D7944B3" w:rsidP="00E1339B" w:rsidRDefault="2D7944B3" w14:paraId="532FF4C8" w14:textId="23B5917E">
      <w:pPr>
        <w:jc w:val="both"/>
        <w:rPr>
          <w:rFonts w:cstheme="minorHAnsi"/>
        </w:rPr>
      </w:pPr>
      <w:r w:rsidRPr="00991CAC">
        <w:rPr>
          <w:rFonts w:eastAsia="Calibri" w:cstheme="minorHAnsi"/>
          <w:lang w:val="en-US"/>
        </w:rPr>
        <w:t>Teams should not be in the College at the same time, and physical interactions with student groups should be limited to their specific team.</w:t>
      </w:r>
    </w:p>
    <w:p w:rsidRPr="00991CAC" w:rsidR="2D7944B3" w:rsidP="00E1339B" w:rsidRDefault="2D7944B3" w14:paraId="63475AA5" w14:textId="5FB34D0A">
      <w:pPr>
        <w:jc w:val="both"/>
        <w:rPr>
          <w:rFonts w:cstheme="minorHAnsi"/>
        </w:rPr>
      </w:pPr>
      <w:r w:rsidRPr="00991CAC">
        <w:rPr>
          <w:rFonts w:eastAsia="Calibri" w:cstheme="minorHAnsi"/>
          <w:lang w:val="en-US"/>
        </w:rPr>
        <w:t xml:space="preserve"> </w:t>
      </w:r>
    </w:p>
    <w:p w:rsidRPr="00991CAC" w:rsidR="2D7944B3" w:rsidP="00E1339B" w:rsidRDefault="2D7944B3" w14:paraId="7FBC2BAE" w14:textId="3A562FC8">
      <w:pPr>
        <w:jc w:val="both"/>
        <w:rPr>
          <w:rFonts w:cstheme="minorHAnsi"/>
        </w:rPr>
      </w:pPr>
      <w:r w:rsidRPr="00991CAC">
        <w:rPr>
          <w:rFonts w:eastAsia="Calibri" w:cstheme="minorHAnsi"/>
          <w:lang w:val="en-US"/>
        </w:rPr>
        <w:t xml:space="preserve">In the event that there is a case, </w:t>
      </w:r>
      <w:r w:rsidRPr="00991CAC" w:rsidR="00B73AA2">
        <w:rPr>
          <w:rFonts w:eastAsia="Calibri" w:cstheme="minorHAnsi"/>
          <w:lang w:val="en-US"/>
        </w:rPr>
        <w:t>the College will</w:t>
      </w:r>
      <w:r w:rsidRPr="00991CAC">
        <w:rPr>
          <w:rFonts w:eastAsia="Calibri" w:cstheme="minorHAnsi"/>
          <w:lang w:val="en-US"/>
        </w:rPr>
        <w:t xml:space="preserve"> follow the protocol for anyone who has been in close contact, as defined:</w:t>
      </w:r>
    </w:p>
    <w:p w:rsidRPr="00991CAC" w:rsidR="2D7944B3" w:rsidP="00E1339B" w:rsidRDefault="2D7944B3" w14:paraId="6C793E19" w14:textId="239F5214">
      <w:pPr>
        <w:jc w:val="both"/>
        <w:rPr>
          <w:rFonts w:cstheme="minorHAnsi"/>
        </w:rPr>
      </w:pPr>
      <w:r w:rsidRPr="00991CAC">
        <w:rPr>
          <w:rFonts w:eastAsia="Calibri" w:cstheme="minorHAnsi"/>
          <w:lang w:val="en-US"/>
        </w:rPr>
        <w:t xml:space="preserve"> </w:t>
      </w:r>
    </w:p>
    <w:p w:rsidRPr="00991CAC" w:rsidR="2D7944B3" w:rsidP="00E1339B" w:rsidRDefault="2D7944B3" w14:paraId="6E9ED7D0" w14:textId="2F9925D0">
      <w:pPr>
        <w:pStyle w:val="ListParagraph"/>
        <w:numPr>
          <w:ilvl w:val="0"/>
          <w:numId w:val="1"/>
        </w:numPr>
        <w:jc w:val="both"/>
        <w:rPr>
          <w:rFonts w:eastAsiaTheme="minorEastAsia" w:cstheme="minorHAnsi"/>
        </w:rPr>
      </w:pPr>
      <w:r w:rsidRPr="00991CAC">
        <w:rPr>
          <w:rFonts w:eastAsia="Calibri" w:cstheme="minorHAnsi"/>
        </w:rPr>
        <w:t>direct close contacts - face to face contact with an infected individual for any length of time, within 1 metre, including being coughed on, a face to face conversation, or unprotected physical contact (skin to skin)</w:t>
      </w:r>
    </w:p>
    <w:p w:rsidRPr="00991CAC" w:rsidR="2D7944B3" w:rsidP="00E1339B" w:rsidRDefault="2D7944B3" w14:paraId="011C040B" w14:textId="08FCA73C">
      <w:pPr>
        <w:pStyle w:val="ListParagraph"/>
        <w:numPr>
          <w:ilvl w:val="0"/>
          <w:numId w:val="1"/>
        </w:numPr>
        <w:jc w:val="both"/>
        <w:rPr>
          <w:rFonts w:eastAsiaTheme="minorEastAsia" w:cstheme="minorHAnsi"/>
        </w:rPr>
      </w:pPr>
      <w:r w:rsidRPr="00991CAC">
        <w:rPr>
          <w:rFonts w:eastAsia="Calibri" w:cstheme="minorHAnsi"/>
        </w:rPr>
        <w:t>proximity contacts - extended close contact (within 1 to 2 metres for more than 15 minutes) with an infected individual</w:t>
      </w:r>
    </w:p>
    <w:p w:rsidRPr="00991CAC" w:rsidR="2D7944B3" w:rsidP="00E1339B" w:rsidRDefault="2D7944B3" w14:paraId="0A630507" w14:textId="1A39E91D">
      <w:pPr>
        <w:pStyle w:val="ListParagraph"/>
        <w:numPr>
          <w:ilvl w:val="0"/>
          <w:numId w:val="1"/>
        </w:numPr>
        <w:jc w:val="both"/>
        <w:rPr>
          <w:rFonts w:eastAsiaTheme="minorEastAsia" w:cstheme="minorHAnsi"/>
        </w:rPr>
      </w:pPr>
      <w:r w:rsidRPr="00991CAC">
        <w:rPr>
          <w:rFonts w:eastAsia="Calibri" w:cstheme="minorHAnsi"/>
        </w:rPr>
        <w:t>travelling in a small vehicle, like a car, with an infected person</w:t>
      </w:r>
    </w:p>
    <w:p w:rsidRPr="00991CAC" w:rsidR="2D7944B3" w:rsidP="00E1339B" w:rsidRDefault="2D7944B3" w14:paraId="60660C23" w14:textId="649CC8BC">
      <w:pPr>
        <w:jc w:val="both"/>
        <w:rPr>
          <w:rFonts w:cstheme="minorHAnsi"/>
        </w:rPr>
      </w:pPr>
      <w:r w:rsidRPr="00991CAC">
        <w:rPr>
          <w:rFonts w:eastAsia="Calibri" w:cstheme="minorHAnsi"/>
          <w:lang w:val="en-US"/>
        </w:rPr>
        <w:t xml:space="preserve"> </w:t>
      </w:r>
    </w:p>
    <w:p w:rsidRPr="00991CAC" w:rsidR="2D7944B3" w:rsidP="00E1339B" w:rsidRDefault="00B73AA2" w14:paraId="665BB8C2" w14:textId="1EEFE854">
      <w:pPr>
        <w:jc w:val="both"/>
        <w:rPr>
          <w:rFonts w:cstheme="minorHAnsi"/>
        </w:rPr>
      </w:pPr>
      <w:r w:rsidRPr="00991CAC">
        <w:rPr>
          <w:rFonts w:eastAsia="Calibri" w:cstheme="minorHAnsi"/>
          <w:lang w:val="en-US"/>
        </w:rPr>
        <w:t>B</w:t>
      </w:r>
      <w:r w:rsidRPr="00991CAC" w:rsidR="2D7944B3">
        <w:rPr>
          <w:rFonts w:eastAsia="Calibri" w:cstheme="minorHAnsi"/>
          <w:lang w:val="en-US"/>
        </w:rPr>
        <w:t>ubble members who have been in close contact will have to provide tracing information and details of those they have been in close contact with, and all parties will have to isolate for 14 days. They will be able to return to the College if they do not exhibit any symptoms in this time.</w:t>
      </w:r>
    </w:p>
    <w:p w:rsidRPr="00991CAC" w:rsidR="2D7944B3" w:rsidP="00E1339B" w:rsidRDefault="2D7944B3" w14:paraId="27C9639D" w14:textId="456B71DC">
      <w:pPr>
        <w:jc w:val="both"/>
        <w:rPr>
          <w:rFonts w:cstheme="minorHAnsi"/>
        </w:rPr>
      </w:pPr>
      <w:r w:rsidRPr="00991CAC">
        <w:rPr>
          <w:rFonts w:eastAsia="Calibri" w:cstheme="minorHAnsi"/>
          <w:lang w:val="en-US"/>
        </w:rPr>
        <w:lastRenderedPageBreak/>
        <w:t xml:space="preserve"> </w:t>
      </w:r>
    </w:p>
    <w:p w:rsidRPr="00991CAC" w:rsidR="2D7944B3" w:rsidP="00E1339B" w:rsidRDefault="2D7944B3" w14:paraId="6D644510" w14:textId="5DD14070">
      <w:pPr>
        <w:jc w:val="both"/>
        <w:rPr>
          <w:rFonts w:cstheme="minorHAnsi"/>
        </w:rPr>
      </w:pPr>
      <w:r w:rsidRPr="00991CAC">
        <w:rPr>
          <w:rFonts w:eastAsia="Calibri" w:cstheme="minorHAnsi"/>
          <w:lang w:val="en-US"/>
        </w:rPr>
        <w:t xml:space="preserve">The second team or bubble can continue working from the College at their allotted times if sanitization and cleaning has occurred as per the guidelines. </w:t>
      </w:r>
    </w:p>
    <w:p w:rsidRPr="00991CAC" w:rsidR="2D7944B3" w:rsidP="00E1339B" w:rsidRDefault="2D7944B3" w14:paraId="2B4B6171" w14:textId="211227A7">
      <w:pPr>
        <w:jc w:val="both"/>
        <w:rPr>
          <w:rFonts w:cstheme="minorHAnsi"/>
        </w:rPr>
      </w:pPr>
      <w:r w:rsidRPr="00991CAC">
        <w:rPr>
          <w:rFonts w:eastAsia="Calibri" w:cstheme="minorHAnsi"/>
          <w:lang w:val="en-US"/>
        </w:rPr>
        <w:t xml:space="preserve"> </w:t>
      </w:r>
    </w:p>
    <w:p w:rsidRPr="00991CAC" w:rsidR="2D7944B3" w:rsidP="00E1339B" w:rsidRDefault="2D7944B3" w14:paraId="1E668BD8" w14:textId="39A68186">
      <w:pPr>
        <w:jc w:val="both"/>
        <w:rPr>
          <w:rFonts w:eastAsia="Calibri" w:cstheme="minorHAnsi"/>
          <w:lang w:val="en-US"/>
        </w:rPr>
      </w:pPr>
      <w:r w:rsidRPr="00991CAC">
        <w:rPr>
          <w:rFonts w:eastAsia="Calibri" w:cstheme="minorHAnsi"/>
          <w:lang w:val="en-US"/>
        </w:rPr>
        <w:t>It will be the responsibility of team leaders and quality manager to inform teams of procedure and information around isolating and return to work.</w:t>
      </w:r>
    </w:p>
    <w:p w:rsidRPr="00991CAC" w:rsidR="00C0081C" w:rsidP="00E1339B" w:rsidRDefault="00C0081C" w14:paraId="43C3BD22" w14:textId="473B97D2">
      <w:pPr>
        <w:jc w:val="both"/>
        <w:rPr>
          <w:rFonts w:eastAsia="Calibri" w:cstheme="minorHAnsi"/>
          <w:lang w:val="en-US"/>
        </w:rPr>
      </w:pPr>
    </w:p>
    <w:p w:rsidRPr="00991CAC" w:rsidR="00C0081C" w:rsidP="00E1339B" w:rsidRDefault="00C0081C" w14:paraId="543C1E4B" w14:textId="651AE514">
      <w:pPr>
        <w:jc w:val="both"/>
        <w:rPr>
          <w:rFonts w:eastAsia="Calibri" w:cstheme="minorHAnsi"/>
          <w:b/>
          <w:bCs/>
          <w:lang w:val="en-US"/>
        </w:rPr>
      </w:pPr>
      <w:r w:rsidRPr="00991CAC">
        <w:rPr>
          <w:rFonts w:eastAsia="Calibri" w:cstheme="minorHAnsi"/>
          <w:b/>
          <w:bCs/>
          <w:lang w:val="en-US"/>
        </w:rPr>
        <w:t>In the Event of a National or Regional Lockdown</w:t>
      </w:r>
    </w:p>
    <w:p w:rsidRPr="00991CAC" w:rsidR="00E52975" w:rsidP="00E1339B" w:rsidRDefault="00E52975" w14:paraId="53D322AE" w14:textId="65E6550F">
      <w:pPr>
        <w:jc w:val="both"/>
        <w:rPr>
          <w:rFonts w:eastAsia="Calibri" w:cstheme="minorHAnsi"/>
          <w:b/>
          <w:bCs/>
          <w:lang w:val="en-US"/>
        </w:rPr>
      </w:pPr>
    </w:p>
    <w:p w:rsidR="00E52975" w:rsidP="00E1339B" w:rsidRDefault="00E52975" w14:paraId="17E85A54" w14:textId="14D0CB72">
      <w:pPr>
        <w:jc w:val="both"/>
        <w:rPr>
          <w:rFonts w:eastAsia="Calibri" w:cstheme="minorHAnsi"/>
          <w:lang w:val="en-US"/>
        </w:rPr>
      </w:pPr>
      <w:r w:rsidRPr="00991CAC">
        <w:rPr>
          <w:rFonts w:eastAsia="Calibri" w:cstheme="minorHAnsi"/>
          <w:lang w:val="en-US"/>
        </w:rPr>
        <w:t>Should guidance change and a further national or regional lockdown result in the short-term closure of the City College campus, all activity will continue with the exception of opportunities for face to face tutorials and access to the study centre. All staff will work from home and all students will receive updates via MS Teams, the Canvas announcement system and Whats App messenger.</w:t>
      </w:r>
    </w:p>
    <w:p w:rsidRPr="00991CAC" w:rsidR="00991CAC" w:rsidP="00E1339B" w:rsidRDefault="00991CAC" w14:paraId="29199946" w14:textId="77777777">
      <w:pPr>
        <w:jc w:val="both"/>
        <w:rPr>
          <w:rFonts w:eastAsia="Calibri" w:cstheme="minorHAnsi"/>
          <w:lang w:val="en-US"/>
        </w:rPr>
      </w:pPr>
    </w:p>
    <w:p w:rsidRPr="00991CAC" w:rsidR="00A43427" w:rsidP="00E1339B" w:rsidRDefault="00A43427" w14:paraId="2C5432F0" w14:textId="6BC8C474">
      <w:pPr>
        <w:jc w:val="both"/>
        <w:rPr>
          <w:rFonts w:eastAsia="Calibri" w:cstheme="minorHAnsi"/>
          <w:lang w:val="en-US"/>
        </w:rPr>
      </w:pPr>
      <w:r w:rsidRPr="00991CAC">
        <w:rPr>
          <w:rFonts w:eastAsia="Calibri" w:cstheme="minorHAnsi"/>
          <w:lang w:val="en-US"/>
        </w:rPr>
        <w:t>Health Care Practice for England students in the first year of their programme will</w:t>
      </w:r>
      <w:r w:rsidR="00E1339B">
        <w:rPr>
          <w:rFonts w:eastAsia="Calibri" w:cstheme="minorHAnsi"/>
          <w:lang w:val="en-US"/>
        </w:rPr>
        <w:t xml:space="preserve"> </w:t>
      </w:r>
      <w:r w:rsidRPr="00991CAC">
        <w:rPr>
          <w:rFonts w:eastAsia="Calibri" w:cstheme="minorHAnsi"/>
          <w:lang w:val="en-US"/>
        </w:rPr>
        <w:t>be expected to have satisfactorily completed at least 70% of the total work placement hours to progress to their H</w:t>
      </w:r>
      <w:r w:rsidR="00E1339B">
        <w:rPr>
          <w:rFonts w:eastAsia="Calibri" w:cstheme="minorHAnsi"/>
          <w:lang w:val="en-US"/>
        </w:rPr>
        <w:t xml:space="preserve">igher </w:t>
      </w:r>
      <w:r w:rsidRPr="00991CAC">
        <w:rPr>
          <w:rFonts w:eastAsia="Calibri" w:cstheme="minorHAnsi"/>
          <w:lang w:val="en-US"/>
        </w:rPr>
        <w:t>N</w:t>
      </w:r>
      <w:r w:rsidR="00E1339B">
        <w:rPr>
          <w:rFonts w:eastAsia="Calibri" w:cstheme="minorHAnsi"/>
          <w:lang w:val="en-US"/>
        </w:rPr>
        <w:t xml:space="preserve">ational </w:t>
      </w:r>
      <w:r w:rsidRPr="00991CAC">
        <w:rPr>
          <w:rFonts w:eastAsia="Calibri" w:cstheme="minorHAnsi"/>
          <w:lang w:val="en-US"/>
        </w:rPr>
        <w:t>D</w:t>
      </w:r>
      <w:r w:rsidR="00E1339B">
        <w:rPr>
          <w:rFonts w:eastAsia="Calibri" w:cstheme="minorHAnsi"/>
          <w:lang w:val="en-US"/>
        </w:rPr>
        <w:t>iploma (HND)</w:t>
      </w:r>
      <w:r w:rsidRPr="00991CAC">
        <w:rPr>
          <w:rFonts w:eastAsia="Calibri" w:cstheme="minorHAnsi"/>
          <w:lang w:val="en-US"/>
        </w:rPr>
        <w:t xml:space="preserve">. </w:t>
      </w:r>
      <w:r w:rsidRPr="00991CAC">
        <w:rPr>
          <w:rFonts w:cstheme="minorHAnsi"/>
        </w:rPr>
        <w:t>Students given this consideration will be expected to attain the deficit in the minimum 70% work placement hours whilst completing their HND, in addition to the mandatory work placement hours expected in the HND</w:t>
      </w:r>
      <w:r w:rsidRPr="00991CAC" w:rsidR="00065B1D">
        <w:rPr>
          <w:rFonts w:cstheme="minorHAnsi"/>
        </w:rPr>
        <w:t>. Placement hours are monitored monthly, any students falling behind will receive support through their Programme Lead and Student Support worker.</w:t>
      </w:r>
    </w:p>
    <w:p w:rsidRPr="00991CAC" w:rsidR="00E52975" w:rsidP="00E1339B" w:rsidRDefault="00E52975" w14:paraId="4510447E" w14:textId="1C207AEE">
      <w:pPr>
        <w:jc w:val="both"/>
        <w:rPr>
          <w:rFonts w:eastAsia="Calibri" w:cstheme="minorHAnsi"/>
          <w:lang w:val="en-US"/>
        </w:rPr>
      </w:pPr>
    </w:p>
    <w:p w:rsidRPr="00991CAC" w:rsidR="00E52975" w:rsidP="00E1339B" w:rsidRDefault="00065B1D" w14:paraId="2518B82E" w14:textId="1B802C83">
      <w:pPr>
        <w:jc w:val="both"/>
        <w:rPr>
          <w:rFonts w:cstheme="minorHAnsi"/>
        </w:rPr>
      </w:pPr>
      <w:r w:rsidRPr="00991CAC">
        <w:rPr>
          <w:rFonts w:cstheme="minorHAnsi"/>
        </w:rPr>
        <w:t>Student Support workers will continue to support all students with their study skills and provide pastoral care. Additional consideration will be given to the Health Care Practice for England students who may be placed at higher risks of exposure to Covid-19. Student Support workers will signpost students toward external support agencies as appropriate.</w:t>
      </w:r>
    </w:p>
    <w:p w:rsidRPr="00991CAC" w:rsidR="779ED310" w:rsidP="00E1339B" w:rsidRDefault="779ED310" w14:paraId="433B151D" w14:textId="6C15CAED">
      <w:pPr>
        <w:jc w:val="both"/>
        <w:rPr>
          <w:rFonts w:eastAsia="Calibri" w:cstheme="minorHAnsi"/>
          <w:lang w:val="en-US"/>
        </w:rPr>
      </w:pPr>
    </w:p>
    <w:p w:rsidRPr="00991CAC" w:rsidR="001A6E68" w:rsidP="00E1339B" w:rsidRDefault="001A6E68" w14:paraId="5F442F37" w14:textId="264FC161">
      <w:pPr>
        <w:spacing w:line="350" w:lineRule="auto"/>
        <w:ind w:right="240"/>
        <w:jc w:val="both"/>
        <w:rPr>
          <w:rFonts w:cstheme="minorHAnsi"/>
        </w:rPr>
      </w:pPr>
      <w:r w:rsidRPr="00991CAC">
        <w:rPr>
          <w:rFonts w:cstheme="minorHAnsi"/>
          <w:b/>
          <w:bCs/>
        </w:rPr>
        <w:t xml:space="preserve">Related </w:t>
      </w:r>
      <w:r w:rsidR="000D789F">
        <w:rPr>
          <w:rFonts w:cstheme="minorHAnsi"/>
          <w:b/>
          <w:bCs/>
        </w:rPr>
        <w:t>P</w:t>
      </w:r>
      <w:r w:rsidRPr="00991CAC">
        <w:rPr>
          <w:rFonts w:cstheme="minorHAnsi"/>
          <w:b/>
          <w:bCs/>
        </w:rPr>
        <w:t>olicies</w:t>
      </w:r>
      <w:r w:rsidRPr="00991CAC">
        <w:rPr>
          <w:rFonts w:cstheme="minorHAnsi"/>
        </w:rPr>
        <w:t xml:space="preserve"> </w:t>
      </w:r>
    </w:p>
    <w:p w:rsidRPr="00991CAC" w:rsidR="001A6E68" w:rsidP="00E1339B" w:rsidRDefault="001A6E68" w14:paraId="55D43DA0" w14:textId="18F5A775">
      <w:pPr>
        <w:spacing w:line="350" w:lineRule="auto"/>
        <w:ind w:right="240"/>
        <w:jc w:val="both"/>
        <w:rPr>
          <w:rFonts w:cstheme="minorHAnsi"/>
        </w:rPr>
      </w:pPr>
      <w:r w:rsidRPr="00991CAC">
        <w:rPr>
          <w:rFonts w:cstheme="minorHAnsi"/>
        </w:rPr>
        <w:t>This p</w:t>
      </w:r>
      <w:r w:rsidR="00EB441B">
        <w:rPr>
          <w:rFonts w:cstheme="minorHAnsi"/>
        </w:rPr>
        <w:t>lan</w:t>
      </w:r>
      <w:r w:rsidRPr="00991CAC">
        <w:rPr>
          <w:rFonts w:cstheme="minorHAnsi"/>
        </w:rPr>
        <w:t xml:space="preserve"> needs to be read in conjunction with other policies including:</w:t>
      </w:r>
    </w:p>
    <w:p w:rsidRPr="00991CAC" w:rsidR="001A6E68" w:rsidP="00E1339B" w:rsidRDefault="001A6E68" w14:paraId="4A4D0B80" w14:textId="77777777">
      <w:pPr>
        <w:pStyle w:val="BodyText"/>
        <w:ind w:left="920"/>
        <w:jc w:val="both"/>
        <w:rPr>
          <w:rFonts w:asciiTheme="minorHAnsi" w:hAnsiTheme="minorHAnsi" w:cstheme="minorHAnsi"/>
          <w:b/>
          <w:bCs/>
          <w:sz w:val="24"/>
          <w:szCs w:val="24"/>
        </w:rPr>
      </w:pPr>
    </w:p>
    <w:p w:rsidRPr="00E1339B" w:rsidR="00E1339B" w:rsidP="00E1339B" w:rsidRDefault="00E1339B" w14:paraId="08D1C0F3" w14:textId="5D6C0C01">
      <w:pPr>
        <w:pStyle w:val="ListParagraph"/>
        <w:numPr>
          <w:ilvl w:val="0"/>
          <w:numId w:val="5"/>
        </w:numPr>
        <w:jc w:val="both"/>
        <w:rPr>
          <w:rFonts w:cstheme="minorHAnsi"/>
        </w:rPr>
      </w:pPr>
      <w:r w:rsidRPr="00E1339B">
        <w:rPr>
          <w:rFonts w:cstheme="minorHAnsi"/>
        </w:rPr>
        <w:t>Safeguarding Policy</w:t>
      </w:r>
    </w:p>
    <w:p w:rsidRPr="00E1339B" w:rsidR="00E1339B" w:rsidP="00E1339B" w:rsidRDefault="00E1339B" w14:paraId="21F22A44" w14:textId="69E8A3F8">
      <w:pPr>
        <w:pStyle w:val="ListParagraph"/>
        <w:numPr>
          <w:ilvl w:val="0"/>
          <w:numId w:val="5"/>
        </w:numPr>
        <w:jc w:val="both"/>
        <w:rPr>
          <w:rFonts w:cstheme="minorHAnsi"/>
        </w:rPr>
      </w:pPr>
      <w:r w:rsidRPr="00E1339B">
        <w:rPr>
          <w:rFonts w:cstheme="minorHAnsi"/>
        </w:rPr>
        <w:t>Prevent Strategy</w:t>
      </w:r>
    </w:p>
    <w:p w:rsidRPr="00E1339B" w:rsidR="00E1339B" w:rsidP="00E1339B" w:rsidRDefault="00E1339B" w14:paraId="71E3E7F1" w14:textId="2327DC41">
      <w:pPr>
        <w:pStyle w:val="ListParagraph"/>
        <w:numPr>
          <w:ilvl w:val="0"/>
          <w:numId w:val="5"/>
        </w:numPr>
        <w:jc w:val="both"/>
        <w:rPr>
          <w:rFonts w:cstheme="minorHAnsi"/>
        </w:rPr>
      </w:pPr>
      <w:r w:rsidRPr="00E1339B">
        <w:rPr>
          <w:rFonts w:cstheme="minorHAnsi"/>
        </w:rPr>
        <w:t>Attendance and Engagement Policy</w:t>
      </w:r>
    </w:p>
    <w:p w:rsidRPr="00E1339B" w:rsidR="00E1339B" w:rsidP="00E1339B" w:rsidRDefault="00E1339B" w14:paraId="4F45F532" w14:textId="7583ACB1">
      <w:pPr>
        <w:pStyle w:val="ListParagraph"/>
        <w:numPr>
          <w:ilvl w:val="0"/>
          <w:numId w:val="5"/>
        </w:numPr>
        <w:jc w:val="both"/>
        <w:rPr>
          <w:rFonts w:cstheme="minorHAnsi"/>
        </w:rPr>
      </w:pPr>
      <w:r w:rsidRPr="00E1339B">
        <w:rPr>
          <w:rFonts w:cstheme="minorHAnsi"/>
        </w:rPr>
        <w:t>Student Disciplinary Policy</w:t>
      </w:r>
    </w:p>
    <w:p w:rsidRPr="00E1339B" w:rsidR="00E1339B" w:rsidP="00E1339B" w:rsidRDefault="00E1339B" w14:paraId="49DC67B0" w14:textId="258157D1">
      <w:pPr>
        <w:pStyle w:val="ListParagraph"/>
        <w:numPr>
          <w:ilvl w:val="0"/>
          <w:numId w:val="5"/>
        </w:numPr>
        <w:jc w:val="both"/>
        <w:rPr>
          <w:rFonts w:cstheme="minorHAnsi"/>
        </w:rPr>
      </w:pPr>
      <w:r w:rsidRPr="00E1339B">
        <w:rPr>
          <w:rFonts w:cstheme="minorHAnsi"/>
        </w:rPr>
        <w:t>Student Protection Plan</w:t>
      </w:r>
    </w:p>
    <w:p w:rsidRPr="00E1339B" w:rsidR="00E1339B" w:rsidP="00E1339B" w:rsidRDefault="00E1339B" w14:paraId="3FC0D5BD" w14:textId="77777777">
      <w:pPr>
        <w:pStyle w:val="ListParagraph"/>
        <w:numPr>
          <w:ilvl w:val="0"/>
          <w:numId w:val="5"/>
        </w:numPr>
        <w:jc w:val="both"/>
        <w:rPr>
          <w:rFonts w:cstheme="minorHAnsi"/>
        </w:rPr>
      </w:pPr>
      <w:r w:rsidRPr="00E1339B">
        <w:rPr>
          <w:rFonts w:cstheme="minorHAnsi"/>
        </w:rPr>
        <w:t>Health and Safety Policy</w:t>
      </w:r>
    </w:p>
    <w:p w:rsidRPr="00E1339B" w:rsidR="00E1339B" w:rsidP="00E1339B" w:rsidRDefault="00E1339B" w14:paraId="5C343E3A" w14:textId="7FFD9EC5">
      <w:pPr>
        <w:pStyle w:val="ListParagraph"/>
        <w:numPr>
          <w:ilvl w:val="0"/>
          <w:numId w:val="5"/>
        </w:numPr>
        <w:jc w:val="both"/>
        <w:rPr>
          <w:rFonts w:cstheme="minorHAnsi"/>
        </w:rPr>
      </w:pPr>
      <w:r w:rsidRPr="00E1339B">
        <w:rPr>
          <w:rFonts w:cstheme="minorHAnsi"/>
        </w:rPr>
        <w:t>Equality and Diversity Policy</w:t>
      </w:r>
    </w:p>
    <w:p w:rsidRPr="00E1339B" w:rsidR="00E1339B" w:rsidP="00E1339B" w:rsidRDefault="00E1339B" w14:paraId="5B44285C" w14:textId="6E7E5F90">
      <w:pPr>
        <w:pStyle w:val="ListParagraph"/>
        <w:numPr>
          <w:ilvl w:val="0"/>
          <w:numId w:val="5"/>
        </w:numPr>
        <w:jc w:val="both"/>
        <w:rPr>
          <w:rFonts w:cstheme="minorHAnsi"/>
        </w:rPr>
      </w:pPr>
      <w:r w:rsidRPr="00E1339B">
        <w:rPr>
          <w:rFonts w:cstheme="minorHAnsi"/>
        </w:rPr>
        <w:t>Fitness to Practice Policy</w:t>
      </w:r>
    </w:p>
    <w:p w:rsidRPr="00E1339B" w:rsidR="779ED310" w:rsidP="00E1339B" w:rsidRDefault="00E1339B" w14:paraId="40B88A98" w14:textId="6BAA301D">
      <w:pPr>
        <w:pStyle w:val="ListParagraph"/>
        <w:numPr>
          <w:ilvl w:val="0"/>
          <w:numId w:val="5"/>
        </w:numPr>
        <w:jc w:val="both"/>
        <w:rPr>
          <w:rFonts w:cstheme="minorHAnsi"/>
        </w:rPr>
      </w:pPr>
      <w:r w:rsidRPr="00E1339B">
        <w:rPr>
          <w:rFonts w:cstheme="minorHAnsi"/>
        </w:rPr>
        <w:t>Fitness to Study Policy</w:t>
      </w:r>
    </w:p>
    <w:sectPr w:rsidRPr="00E1339B" w:rsidR="779ED310" w:rsidSect="009B507F">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7CB1"/>
    <w:multiLevelType w:val="hybridMultilevel"/>
    <w:tmpl w:val="D728C096"/>
    <w:lvl w:ilvl="0" w:tplc="C45EE314">
      <w:start w:val="1"/>
      <w:numFmt w:val="bullet"/>
      <w:lvlText w:val=""/>
      <w:lvlJc w:val="left"/>
      <w:pPr>
        <w:ind w:left="720" w:hanging="360"/>
      </w:pPr>
      <w:rPr>
        <w:rFonts w:hint="default" w:ascii="Symbol" w:hAnsi="Symbol"/>
      </w:rPr>
    </w:lvl>
    <w:lvl w:ilvl="1" w:tplc="FC4A2D4E">
      <w:start w:val="1"/>
      <w:numFmt w:val="bullet"/>
      <w:lvlText w:val="o"/>
      <w:lvlJc w:val="left"/>
      <w:pPr>
        <w:ind w:left="1440" w:hanging="360"/>
      </w:pPr>
      <w:rPr>
        <w:rFonts w:hint="default" w:ascii="Courier New" w:hAnsi="Courier New"/>
      </w:rPr>
    </w:lvl>
    <w:lvl w:ilvl="2" w:tplc="8EC6BDEA">
      <w:start w:val="1"/>
      <w:numFmt w:val="bullet"/>
      <w:lvlText w:val=""/>
      <w:lvlJc w:val="left"/>
      <w:pPr>
        <w:ind w:left="2160" w:hanging="360"/>
      </w:pPr>
      <w:rPr>
        <w:rFonts w:hint="default" w:ascii="Wingdings" w:hAnsi="Wingdings"/>
      </w:rPr>
    </w:lvl>
    <w:lvl w:ilvl="3" w:tplc="2E1EBCAE">
      <w:start w:val="1"/>
      <w:numFmt w:val="bullet"/>
      <w:lvlText w:val=""/>
      <w:lvlJc w:val="left"/>
      <w:pPr>
        <w:ind w:left="2880" w:hanging="360"/>
      </w:pPr>
      <w:rPr>
        <w:rFonts w:hint="default" w:ascii="Symbol" w:hAnsi="Symbol"/>
      </w:rPr>
    </w:lvl>
    <w:lvl w:ilvl="4" w:tplc="0C44D85A">
      <w:start w:val="1"/>
      <w:numFmt w:val="bullet"/>
      <w:lvlText w:val="o"/>
      <w:lvlJc w:val="left"/>
      <w:pPr>
        <w:ind w:left="3600" w:hanging="360"/>
      </w:pPr>
      <w:rPr>
        <w:rFonts w:hint="default" w:ascii="Courier New" w:hAnsi="Courier New"/>
      </w:rPr>
    </w:lvl>
    <w:lvl w:ilvl="5" w:tplc="6DCCBC28">
      <w:start w:val="1"/>
      <w:numFmt w:val="bullet"/>
      <w:lvlText w:val=""/>
      <w:lvlJc w:val="left"/>
      <w:pPr>
        <w:ind w:left="4320" w:hanging="360"/>
      </w:pPr>
      <w:rPr>
        <w:rFonts w:hint="default" w:ascii="Wingdings" w:hAnsi="Wingdings"/>
      </w:rPr>
    </w:lvl>
    <w:lvl w:ilvl="6" w:tplc="C8145F54">
      <w:start w:val="1"/>
      <w:numFmt w:val="bullet"/>
      <w:lvlText w:val=""/>
      <w:lvlJc w:val="left"/>
      <w:pPr>
        <w:ind w:left="5040" w:hanging="360"/>
      </w:pPr>
      <w:rPr>
        <w:rFonts w:hint="default" w:ascii="Symbol" w:hAnsi="Symbol"/>
      </w:rPr>
    </w:lvl>
    <w:lvl w:ilvl="7" w:tplc="A302311A">
      <w:start w:val="1"/>
      <w:numFmt w:val="bullet"/>
      <w:lvlText w:val="o"/>
      <w:lvlJc w:val="left"/>
      <w:pPr>
        <w:ind w:left="5760" w:hanging="360"/>
      </w:pPr>
      <w:rPr>
        <w:rFonts w:hint="default" w:ascii="Courier New" w:hAnsi="Courier New"/>
      </w:rPr>
    </w:lvl>
    <w:lvl w:ilvl="8" w:tplc="379E09BC">
      <w:start w:val="1"/>
      <w:numFmt w:val="bullet"/>
      <w:lvlText w:val=""/>
      <w:lvlJc w:val="left"/>
      <w:pPr>
        <w:ind w:left="6480" w:hanging="360"/>
      </w:pPr>
      <w:rPr>
        <w:rFonts w:hint="default" w:ascii="Wingdings" w:hAnsi="Wingdings"/>
      </w:rPr>
    </w:lvl>
  </w:abstractNum>
  <w:abstractNum w:abstractNumId="1" w15:restartNumberingAfterBreak="0">
    <w:nsid w:val="1CE771AE"/>
    <w:multiLevelType w:val="hybridMultilevel"/>
    <w:tmpl w:val="D8BE9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6337B6A"/>
    <w:multiLevelType w:val="multilevel"/>
    <w:tmpl w:val="B23C1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3654A7F"/>
    <w:multiLevelType w:val="hybridMultilevel"/>
    <w:tmpl w:val="6902E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8227124"/>
    <w:multiLevelType w:val="hybridMultilevel"/>
    <w:tmpl w:val="77DEFC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20"/>
    <w:rsid w:val="00001228"/>
    <w:rsid w:val="00065B1D"/>
    <w:rsid w:val="000D789F"/>
    <w:rsid w:val="001A6E68"/>
    <w:rsid w:val="0020474F"/>
    <w:rsid w:val="00414220"/>
    <w:rsid w:val="00455D77"/>
    <w:rsid w:val="005C2439"/>
    <w:rsid w:val="00680FFD"/>
    <w:rsid w:val="00690094"/>
    <w:rsid w:val="00695287"/>
    <w:rsid w:val="00721475"/>
    <w:rsid w:val="00991CAC"/>
    <w:rsid w:val="009B507F"/>
    <w:rsid w:val="00A43427"/>
    <w:rsid w:val="00AF55FD"/>
    <w:rsid w:val="00B46E9F"/>
    <w:rsid w:val="00B73AA2"/>
    <w:rsid w:val="00BA3C4D"/>
    <w:rsid w:val="00C0081C"/>
    <w:rsid w:val="00C5234A"/>
    <w:rsid w:val="00DF55AB"/>
    <w:rsid w:val="00E1339B"/>
    <w:rsid w:val="00E52975"/>
    <w:rsid w:val="00E94540"/>
    <w:rsid w:val="00EB441B"/>
    <w:rsid w:val="00EB6459"/>
    <w:rsid w:val="00EC2838"/>
    <w:rsid w:val="00F23C7C"/>
    <w:rsid w:val="22A66198"/>
    <w:rsid w:val="2D7944B3"/>
    <w:rsid w:val="494C8810"/>
    <w:rsid w:val="779ED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CBA1"/>
  <w14:defaultImageDpi w14:val="32767"/>
  <w15:chartTrackingRefBased/>
  <w15:docId w15:val="{458F5A1F-F654-2144-8FB2-16AEDAAB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1422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link w:val="BodyTextChar"/>
    <w:semiHidden/>
    <w:unhideWhenUsed/>
    <w:rsid w:val="001A6E68"/>
    <w:pPr>
      <w:widowControl w:val="0"/>
      <w:suppressAutoHyphens/>
      <w:autoSpaceDE w:val="0"/>
      <w:autoSpaceDN w:val="0"/>
      <w:ind w:left="820"/>
    </w:pPr>
    <w:rPr>
      <w:rFonts w:ascii="Calibri" w:hAnsi="Calibri" w:eastAsia="Calibri" w:cs="Calibri"/>
      <w:sz w:val="20"/>
      <w:szCs w:val="20"/>
      <w:lang w:eastAsia="en-GB" w:bidi="en-GB"/>
    </w:rPr>
  </w:style>
  <w:style w:type="character" w:styleId="BodyTextChar" w:customStyle="1">
    <w:name w:val="Body Text Char"/>
    <w:basedOn w:val="DefaultParagraphFont"/>
    <w:link w:val="BodyText"/>
    <w:semiHidden/>
    <w:rsid w:val="001A6E68"/>
    <w:rPr>
      <w:rFonts w:ascii="Calibri" w:hAnsi="Calibri" w:eastAsia="Calibri" w:cs="Calibri"/>
      <w:sz w:val="20"/>
      <w:szCs w:val="20"/>
      <w:lang w:eastAsia="en-GB" w:bidi="en-GB"/>
    </w:rPr>
  </w:style>
  <w:style w:type="character" w:styleId="normaltextrun" w:customStyle="1">
    <w:name w:val="normaltextrun"/>
    <w:rsid w:val="00455D77"/>
  </w:style>
  <w:style w:type="paragraph" w:styleId="paragraph" w:customStyle="1">
    <w:name w:val="paragraph"/>
    <w:basedOn w:val="Normal"/>
    <w:rsid w:val="00B73AA2"/>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B73AA2"/>
  </w:style>
  <w:style w:type="character" w:styleId="Hyperlink">
    <w:name w:val="Hyperlink"/>
    <w:basedOn w:val="DefaultParagraphFont"/>
    <w:uiPriority w:val="99"/>
    <w:unhideWhenUsed/>
    <w:rsid w:val="00B73AA2"/>
    <w:rPr>
      <w:color w:val="0563C1" w:themeColor="hyperlink"/>
      <w:u w:val="single"/>
    </w:rPr>
  </w:style>
  <w:style w:type="character" w:styleId="UnresolvedMention">
    <w:name w:val="Unresolved Mention"/>
    <w:basedOn w:val="DefaultParagraphFont"/>
    <w:uiPriority w:val="99"/>
    <w:rsid w:val="00B73AA2"/>
    <w:rPr>
      <w:color w:val="605E5C"/>
      <w:shd w:val="clear" w:color="auto" w:fill="E1DFDD"/>
    </w:rPr>
  </w:style>
  <w:style w:type="table" w:styleId="TableGrid">
    <w:name w:val="Table Grid"/>
    <w:basedOn w:val="TableNormal"/>
    <w:uiPriority w:val="39"/>
    <w:rsid w:val="00E945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E1339B"/>
    <w:pPr>
      <w:suppressAutoHyphens/>
      <w:autoSpaceDN w:val="0"/>
      <w:ind w:left="10" w:hanging="10"/>
      <w:jc w:val="both"/>
      <w:textAlignment w:val="baseline"/>
    </w:pPr>
    <w:rPr>
      <w:rFonts w:ascii="Calibri" w:hAnsi="Calibri" w:eastAsia="Calibri" w:cs="Calibri"/>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1825">
      <w:bodyDiv w:val="1"/>
      <w:marLeft w:val="0"/>
      <w:marRight w:val="0"/>
      <w:marTop w:val="0"/>
      <w:marBottom w:val="0"/>
      <w:divBdr>
        <w:top w:val="none" w:sz="0" w:space="0" w:color="auto"/>
        <w:left w:val="none" w:sz="0" w:space="0" w:color="auto"/>
        <w:bottom w:val="none" w:sz="0" w:space="0" w:color="auto"/>
        <w:right w:val="none" w:sz="0" w:space="0" w:color="auto"/>
      </w:divBdr>
    </w:div>
    <w:div w:id="774398697">
      <w:bodyDiv w:val="1"/>
      <w:marLeft w:val="0"/>
      <w:marRight w:val="0"/>
      <w:marTop w:val="0"/>
      <w:marBottom w:val="0"/>
      <w:divBdr>
        <w:top w:val="none" w:sz="0" w:space="0" w:color="auto"/>
        <w:left w:val="none" w:sz="0" w:space="0" w:color="auto"/>
        <w:bottom w:val="none" w:sz="0" w:space="0" w:color="auto"/>
        <w:right w:val="none" w:sz="0" w:space="0" w:color="auto"/>
      </w:divBdr>
    </w:div>
    <w:div w:id="891044562">
      <w:bodyDiv w:val="1"/>
      <w:marLeft w:val="0"/>
      <w:marRight w:val="0"/>
      <w:marTop w:val="0"/>
      <w:marBottom w:val="0"/>
      <w:divBdr>
        <w:top w:val="none" w:sz="0" w:space="0" w:color="auto"/>
        <w:left w:val="none" w:sz="0" w:space="0" w:color="auto"/>
        <w:bottom w:val="none" w:sz="0" w:space="0" w:color="auto"/>
        <w:right w:val="none" w:sz="0" w:space="0" w:color="auto"/>
      </w:divBdr>
    </w:div>
    <w:div w:id="1184510876">
      <w:bodyDiv w:val="1"/>
      <w:marLeft w:val="0"/>
      <w:marRight w:val="0"/>
      <w:marTop w:val="0"/>
      <w:marBottom w:val="0"/>
      <w:divBdr>
        <w:top w:val="none" w:sz="0" w:space="0" w:color="auto"/>
        <w:left w:val="none" w:sz="0" w:space="0" w:color="auto"/>
        <w:bottom w:val="none" w:sz="0" w:space="0" w:color="auto"/>
        <w:right w:val="none" w:sz="0" w:space="0" w:color="auto"/>
      </w:divBdr>
      <w:divsChild>
        <w:div w:id="1409231083">
          <w:marLeft w:val="0"/>
          <w:marRight w:val="0"/>
          <w:marTop w:val="0"/>
          <w:marBottom w:val="0"/>
          <w:divBdr>
            <w:top w:val="none" w:sz="0" w:space="0" w:color="auto"/>
            <w:left w:val="none" w:sz="0" w:space="0" w:color="auto"/>
            <w:bottom w:val="none" w:sz="0" w:space="0" w:color="auto"/>
            <w:right w:val="none" w:sz="0" w:space="0" w:color="auto"/>
          </w:divBdr>
        </w:div>
        <w:div w:id="1178275039">
          <w:marLeft w:val="0"/>
          <w:marRight w:val="0"/>
          <w:marTop w:val="0"/>
          <w:marBottom w:val="0"/>
          <w:divBdr>
            <w:top w:val="none" w:sz="0" w:space="0" w:color="auto"/>
            <w:left w:val="none" w:sz="0" w:space="0" w:color="auto"/>
            <w:bottom w:val="none" w:sz="0" w:space="0" w:color="auto"/>
            <w:right w:val="none" w:sz="0" w:space="0" w:color="auto"/>
          </w:divBdr>
        </w:div>
        <w:div w:id="1265922486">
          <w:marLeft w:val="0"/>
          <w:marRight w:val="0"/>
          <w:marTop w:val="0"/>
          <w:marBottom w:val="0"/>
          <w:divBdr>
            <w:top w:val="none" w:sz="0" w:space="0" w:color="auto"/>
            <w:left w:val="none" w:sz="0" w:space="0" w:color="auto"/>
            <w:bottom w:val="none" w:sz="0" w:space="0" w:color="auto"/>
            <w:right w:val="none" w:sz="0" w:space="0" w:color="auto"/>
          </w:divBdr>
        </w:div>
        <w:div w:id="1938904723">
          <w:marLeft w:val="0"/>
          <w:marRight w:val="0"/>
          <w:marTop w:val="0"/>
          <w:marBottom w:val="0"/>
          <w:divBdr>
            <w:top w:val="none" w:sz="0" w:space="0" w:color="auto"/>
            <w:left w:val="none" w:sz="0" w:space="0" w:color="auto"/>
            <w:bottom w:val="none" w:sz="0" w:space="0" w:color="auto"/>
            <w:right w:val="none" w:sz="0" w:space="0" w:color="auto"/>
          </w:divBdr>
        </w:div>
        <w:div w:id="1817839134">
          <w:marLeft w:val="0"/>
          <w:marRight w:val="0"/>
          <w:marTop w:val="0"/>
          <w:marBottom w:val="0"/>
          <w:divBdr>
            <w:top w:val="none" w:sz="0" w:space="0" w:color="auto"/>
            <w:left w:val="none" w:sz="0" w:space="0" w:color="auto"/>
            <w:bottom w:val="none" w:sz="0" w:space="0" w:color="auto"/>
            <w:right w:val="none" w:sz="0" w:space="0" w:color="auto"/>
          </w:divBdr>
        </w:div>
      </w:divsChild>
    </w:div>
    <w:div w:id="15451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teams.microsoft.com/_"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9F214-FF4F-48C7-8C72-BAD16855ABD8}"/>
</file>

<file path=customXml/itemProps2.xml><?xml version="1.0" encoding="utf-8"?>
<ds:datastoreItem xmlns:ds="http://schemas.openxmlformats.org/officeDocument/2006/customXml" ds:itemID="{34A0006B-5698-4776-87F7-0833F8C2ED4E}">
  <ds:schemaRefs>
    <ds:schemaRef ds:uri="http://schemas.microsoft.com/sharepoint/v3/contenttype/forms"/>
  </ds:schemaRefs>
</ds:datastoreItem>
</file>

<file path=customXml/itemProps3.xml><?xml version="1.0" encoding="utf-8"?>
<ds:datastoreItem xmlns:ds="http://schemas.openxmlformats.org/officeDocument/2006/customXml" ds:itemID="{56E9D671-5461-4FB4-8587-769ABE0AFC5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Jamil Ahmad</dc:creator>
  <cp:keywords/>
  <dc:description/>
  <cp:lastModifiedBy>Paul Walton-Allen</cp:lastModifiedBy>
  <cp:revision>13</cp:revision>
  <dcterms:created xsi:type="dcterms:W3CDTF">2020-09-30T14:28:00Z</dcterms:created>
  <dcterms:modified xsi:type="dcterms:W3CDTF">2021-02-02T13:04:18Z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