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747A53" w:rsidP="002469C0" w:rsidRDefault="00747A53" w14:paraId="7C767F7B" w14:textId="77777777">
      <w:pPr>
        <w:spacing w:after="0" w:line="360" w:lineRule="auto"/>
        <w:jc w:val="both"/>
        <w:rPr>
          <w:rFonts w:cs="Calibri"/>
          <w:sz w:val="24"/>
          <w:szCs w:val="24"/>
        </w:rPr>
      </w:pPr>
    </w:p>
    <w:p w:rsidR="00747A53" w:rsidP="002469C0" w:rsidRDefault="00747A53" w14:paraId="690587EB" w14:textId="77777777">
      <w:pPr>
        <w:spacing w:after="0" w:line="360" w:lineRule="auto"/>
        <w:jc w:val="both"/>
        <w:rPr>
          <w:rFonts w:cs="Calibri"/>
          <w:sz w:val="24"/>
          <w:szCs w:val="24"/>
        </w:rPr>
      </w:pPr>
    </w:p>
    <w:p w:rsidR="00747A53" w:rsidP="002469C0" w:rsidRDefault="001134BF" w14:paraId="143C347D" w14:textId="77777777">
      <w:pPr>
        <w:spacing w:after="0" w:line="360" w:lineRule="auto"/>
        <w:jc w:val="both"/>
        <w:rPr>
          <w:rFonts w:cs="Calibri"/>
          <w:b/>
          <w:bCs/>
        </w:rPr>
      </w:pPr>
      <w:r w:rsidR="001134BF">
        <w:drawing>
          <wp:inline wp14:editId="3673C1BC" wp14:anchorId="4852B8DF">
            <wp:extent cx="2846070" cy="1682115"/>
            <wp:effectExtent l="0" t="0" r="0" b="0"/>
            <wp:docPr id="710343740" name="" title=""/>
            <wp:cNvGraphicFramePr>
              <a:graphicFrameLocks/>
            </wp:cNvGraphicFramePr>
            <a:graphic>
              <a:graphicData uri="http://schemas.openxmlformats.org/drawingml/2006/picture">
                <pic:pic>
                  <pic:nvPicPr>
                    <pic:cNvPr id="0" name=""/>
                    <pic:cNvPicPr/>
                  </pic:nvPicPr>
                  <pic:blipFill>
                    <a:blip r:embed="R31ab0c7a62784a09">
                      <a:extLst>
                        <a:ext xmlns:a="http://schemas.openxmlformats.org/drawingml/2006/main" uri="{28A0092B-C50C-407E-A947-70E740481C1C}">
                          <a14:useLocalDpi val="0"/>
                        </a:ext>
                      </a:extLst>
                    </a:blip>
                    <a:stretch>
                      <a:fillRect/>
                    </a:stretch>
                  </pic:blipFill>
                  <pic:spPr>
                    <a:xfrm rot="0" flipH="0" flipV="0">
                      <a:off x="0" y="0"/>
                      <a:ext cx="2846070" cy="1682115"/>
                    </a:xfrm>
                    <a:prstGeom prst="rect">
                      <a:avLst/>
                    </a:prstGeom>
                  </pic:spPr>
                </pic:pic>
              </a:graphicData>
            </a:graphic>
          </wp:inline>
        </w:drawing>
      </w:r>
    </w:p>
    <w:p w:rsidR="00984511" w:rsidP="002469C0" w:rsidRDefault="00984511" w14:paraId="64B66B63" w14:textId="77777777">
      <w:pPr>
        <w:spacing w:line="0" w:lineRule="atLeast"/>
        <w:ind w:right="6"/>
        <w:jc w:val="both"/>
        <w:rPr>
          <w:rFonts w:cs="Calibri"/>
          <w:b/>
          <w:bCs/>
        </w:rPr>
      </w:pPr>
    </w:p>
    <w:p w:rsidRPr="001134BF" w:rsidR="00984511" w:rsidP="002469C0" w:rsidRDefault="00984511" w14:paraId="454295D9" w14:textId="56EC44C6">
      <w:pPr>
        <w:spacing w:line="0" w:lineRule="atLeast"/>
        <w:ind w:right="6"/>
        <w:jc w:val="both"/>
        <w:rPr>
          <w:rFonts w:eastAsia="Arial"/>
          <w:b/>
          <w:sz w:val="32"/>
        </w:rPr>
      </w:pPr>
      <w:r w:rsidRPr="001134BF">
        <w:rPr>
          <w:rFonts w:eastAsia="Arial"/>
          <w:b/>
          <w:sz w:val="32"/>
        </w:rPr>
        <w:t xml:space="preserve">Information Advice </w:t>
      </w:r>
      <w:r w:rsidRPr="001134BF" w:rsidR="00303B0E">
        <w:rPr>
          <w:rFonts w:eastAsia="Arial"/>
          <w:b/>
          <w:sz w:val="32"/>
        </w:rPr>
        <w:t>and</w:t>
      </w:r>
      <w:r w:rsidRPr="001134BF">
        <w:rPr>
          <w:rFonts w:eastAsia="Arial"/>
          <w:b/>
          <w:sz w:val="32"/>
        </w:rPr>
        <w:t xml:space="preserve"> Guidance Policy</w:t>
      </w:r>
    </w:p>
    <w:p w:rsidR="00984511" w:rsidP="002469C0" w:rsidRDefault="00984511" w14:paraId="267B7A5A" w14:textId="77777777">
      <w:pPr>
        <w:spacing w:line="200" w:lineRule="exact"/>
        <w:jc w:val="both"/>
        <w:rPr>
          <w:rFonts w:ascii="Times New Roman" w:hAnsi="Times New Roman" w:eastAsia="Times New Roman"/>
          <w:sz w:val="24"/>
        </w:rPr>
      </w:pPr>
    </w:p>
    <w:p w:rsidR="00984511" w:rsidP="002469C0" w:rsidRDefault="00984511" w14:paraId="6A11A456" w14:textId="77777777">
      <w:pPr>
        <w:spacing w:line="0" w:lineRule="atLeast"/>
        <w:ind w:right="6"/>
        <w:jc w:val="both"/>
        <w:rPr>
          <w:rFonts w:ascii="Arial" w:hAnsi="Arial" w:eastAsia="Arial"/>
          <w:b/>
        </w:rPr>
      </w:pPr>
      <w:r>
        <w:rPr>
          <w:rFonts w:ascii="Arial" w:hAnsi="Arial" w:eastAsia="Arial"/>
          <w:b/>
        </w:rPr>
        <w:t>City College Limited</w:t>
      </w:r>
    </w:p>
    <w:p w:rsidR="00984511" w:rsidP="002469C0" w:rsidRDefault="00984511" w14:paraId="41DA68AF" w14:textId="77777777">
      <w:pPr>
        <w:spacing w:line="0" w:lineRule="atLeast"/>
        <w:ind w:right="6"/>
        <w:jc w:val="both"/>
        <w:rPr>
          <w:rFonts w:ascii="Arial" w:hAnsi="Arial" w:eastAsia="Arial"/>
        </w:rPr>
      </w:pPr>
      <w:r>
        <w:rPr>
          <w:rFonts w:ascii="Arial" w:hAnsi="Arial" w:eastAsia="Arial"/>
        </w:rPr>
        <w:t>69 Steward Street</w:t>
      </w:r>
    </w:p>
    <w:p w:rsidR="00984511" w:rsidP="002469C0" w:rsidRDefault="00984511" w14:paraId="72EEDB8F" w14:textId="77777777">
      <w:pPr>
        <w:spacing w:line="0" w:lineRule="atLeast"/>
        <w:ind w:right="6"/>
        <w:jc w:val="both"/>
        <w:rPr>
          <w:rFonts w:ascii="Arial" w:hAnsi="Arial" w:eastAsia="Arial"/>
        </w:rPr>
      </w:pPr>
      <w:r>
        <w:rPr>
          <w:rFonts w:ascii="Arial" w:hAnsi="Arial" w:eastAsia="Arial"/>
        </w:rPr>
        <w:t>Birmingham</w:t>
      </w:r>
    </w:p>
    <w:p w:rsidR="00984511" w:rsidP="002469C0" w:rsidRDefault="00984511" w14:paraId="506A02EC" w14:textId="77777777">
      <w:pPr>
        <w:spacing w:line="0" w:lineRule="atLeast"/>
        <w:ind w:right="6"/>
        <w:jc w:val="both"/>
        <w:rPr>
          <w:rFonts w:ascii="Arial" w:hAnsi="Arial" w:eastAsia="Arial"/>
        </w:rPr>
      </w:pPr>
      <w:r>
        <w:rPr>
          <w:rFonts w:ascii="Arial" w:hAnsi="Arial" w:eastAsia="Arial"/>
        </w:rPr>
        <w:t>B18 7AF</w:t>
      </w:r>
    </w:p>
    <w:p w:rsidR="00984511" w:rsidP="002469C0" w:rsidRDefault="00984511" w14:paraId="0DFEE8E3" w14:textId="77777777">
      <w:pPr>
        <w:spacing w:line="200" w:lineRule="exact"/>
        <w:jc w:val="both"/>
        <w:rPr>
          <w:rFonts w:ascii="Times New Roman" w:hAnsi="Times New Roman" w:eastAsia="Times New Roman"/>
          <w:sz w:val="24"/>
        </w:rPr>
      </w:pPr>
    </w:p>
    <w:p w:rsidR="00984511" w:rsidP="002469C0" w:rsidRDefault="00984511" w14:paraId="0738F514" w14:textId="77777777">
      <w:pPr>
        <w:spacing w:line="200" w:lineRule="exact"/>
        <w:jc w:val="both"/>
        <w:rPr>
          <w:rFonts w:ascii="Times New Roman" w:hAnsi="Times New Roman" w:eastAsia="Times New Roman"/>
          <w:sz w:val="24"/>
        </w:rPr>
      </w:pPr>
    </w:p>
    <w:tbl>
      <w:tblPr>
        <w:tblW w:w="89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248"/>
        <w:gridCol w:w="2249"/>
        <w:gridCol w:w="2249"/>
        <w:gridCol w:w="2248"/>
      </w:tblGrid>
      <w:tr w:rsidRPr="004764F6" w:rsidR="00984511" w:rsidTr="0057280C" w14:paraId="0DF7FDB0" w14:textId="77777777">
        <w:trPr>
          <w:jc w:val="center"/>
        </w:trPr>
        <w:tc>
          <w:tcPr>
            <w:tcW w:w="2248" w:type="dxa"/>
            <w:shd w:val="clear" w:color="auto" w:fill="auto"/>
            <w:hideMark/>
          </w:tcPr>
          <w:p w:rsidRPr="00286679" w:rsidR="00984511" w:rsidP="002469C0" w:rsidRDefault="00984511" w14:paraId="2F1EC4FA" w14:textId="77777777">
            <w:pPr>
              <w:jc w:val="both"/>
              <w:textAlignment w:val="baseline"/>
              <w:rPr>
                <w:rFonts w:eastAsia="Times New Roman" w:cs="Calibri"/>
              </w:rPr>
            </w:pPr>
            <w:r w:rsidRPr="00286679">
              <w:rPr>
                <w:rFonts w:eastAsia="Times New Roman" w:cs="Calibri"/>
              </w:rPr>
              <w:t>Title </w:t>
            </w:r>
          </w:p>
        </w:tc>
        <w:tc>
          <w:tcPr>
            <w:tcW w:w="2249" w:type="dxa"/>
            <w:shd w:val="clear" w:color="auto" w:fill="auto"/>
            <w:hideMark/>
          </w:tcPr>
          <w:p w:rsidRPr="00286679" w:rsidR="00984511" w:rsidP="002469C0" w:rsidRDefault="00984511" w14:paraId="4A7773F3" w14:textId="77777777">
            <w:pPr>
              <w:ind w:left="10" w:hanging="10"/>
              <w:jc w:val="both"/>
              <w:textAlignment w:val="baseline"/>
              <w:rPr>
                <w:rFonts w:eastAsia="Times New Roman" w:cs="Calibri"/>
              </w:rPr>
            </w:pPr>
            <w:r>
              <w:rPr>
                <w:rFonts w:eastAsia="Times New Roman" w:cs="Calibri"/>
              </w:rPr>
              <w:t>Information, advice and guidance policy</w:t>
            </w:r>
          </w:p>
        </w:tc>
        <w:tc>
          <w:tcPr>
            <w:tcW w:w="2249" w:type="dxa"/>
            <w:shd w:val="clear" w:color="auto" w:fill="auto"/>
            <w:hideMark/>
          </w:tcPr>
          <w:p w:rsidRPr="00286679" w:rsidR="00984511" w:rsidP="002469C0" w:rsidRDefault="00984511" w14:paraId="63A815E7" w14:textId="77777777">
            <w:pPr>
              <w:jc w:val="both"/>
              <w:textAlignment w:val="baseline"/>
              <w:rPr>
                <w:rFonts w:eastAsia="Times New Roman" w:cs="Calibri"/>
              </w:rPr>
            </w:pPr>
            <w:r w:rsidRPr="00286679">
              <w:rPr>
                <w:rFonts w:eastAsia="Times New Roman" w:cs="Calibri"/>
              </w:rPr>
              <w:t>Department </w:t>
            </w:r>
          </w:p>
        </w:tc>
        <w:tc>
          <w:tcPr>
            <w:tcW w:w="2248" w:type="dxa"/>
            <w:shd w:val="clear" w:color="auto" w:fill="auto"/>
            <w:hideMark/>
          </w:tcPr>
          <w:p w:rsidRPr="00286679" w:rsidR="00984511" w:rsidP="002469C0" w:rsidRDefault="00984511" w14:paraId="425D3CF3" w14:textId="77777777">
            <w:pPr>
              <w:jc w:val="both"/>
              <w:textAlignment w:val="baseline"/>
              <w:rPr>
                <w:rFonts w:eastAsia="Times New Roman" w:cs="Calibri"/>
              </w:rPr>
            </w:pPr>
            <w:r w:rsidRPr="00286679">
              <w:rPr>
                <w:rFonts w:eastAsia="Times New Roman" w:cs="Calibri"/>
              </w:rPr>
              <w:t>Quality </w:t>
            </w:r>
          </w:p>
        </w:tc>
      </w:tr>
      <w:tr w:rsidRPr="004764F6" w:rsidR="00984511" w:rsidTr="0057280C" w14:paraId="663F07D5" w14:textId="77777777">
        <w:trPr>
          <w:jc w:val="center"/>
        </w:trPr>
        <w:tc>
          <w:tcPr>
            <w:tcW w:w="2248" w:type="dxa"/>
            <w:shd w:val="clear" w:color="auto" w:fill="auto"/>
            <w:hideMark/>
          </w:tcPr>
          <w:p w:rsidRPr="00286679" w:rsidR="00984511" w:rsidP="002469C0" w:rsidRDefault="00984511" w14:paraId="7DCC0062" w14:textId="77777777">
            <w:pPr>
              <w:jc w:val="both"/>
              <w:textAlignment w:val="baseline"/>
              <w:rPr>
                <w:rFonts w:eastAsia="Times New Roman" w:cs="Calibri"/>
              </w:rPr>
            </w:pPr>
            <w:r w:rsidRPr="00286679">
              <w:rPr>
                <w:rFonts w:eastAsia="Times New Roman" w:cs="Calibri"/>
              </w:rPr>
              <w:t>Location </w:t>
            </w:r>
          </w:p>
        </w:tc>
        <w:tc>
          <w:tcPr>
            <w:tcW w:w="2249" w:type="dxa"/>
            <w:shd w:val="clear" w:color="auto" w:fill="auto"/>
            <w:hideMark/>
          </w:tcPr>
          <w:p w:rsidRPr="00286679" w:rsidR="00984511" w:rsidP="002469C0" w:rsidRDefault="00984511" w14:paraId="16379954" w14:textId="77777777">
            <w:pPr>
              <w:jc w:val="both"/>
              <w:textAlignment w:val="baseline"/>
              <w:rPr>
                <w:rFonts w:eastAsia="Times New Roman" w:cs="Calibri"/>
              </w:rPr>
            </w:pPr>
            <w:r w:rsidRPr="00286679">
              <w:rPr>
                <w:rFonts w:eastAsia="Times New Roman" w:cs="Calibri"/>
              </w:rPr>
              <w:t>Sharepoint </w:t>
            </w:r>
          </w:p>
        </w:tc>
        <w:tc>
          <w:tcPr>
            <w:tcW w:w="2249" w:type="dxa"/>
            <w:shd w:val="clear" w:color="auto" w:fill="auto"/>
            <w:hideMark/>
          </w:tcPr>
          <w:p w:rsidRPr="00286679" w:rsidR="00984511" w:rsidP="002469C0" w:rsidRDefault="00984511" w14:paraId="6E01EA61" w14:textId="77777777">
            <w:pPr>
              <w:jc w:val="both"/>
              <w:textAlignment w:val="baseline"/>
              <w:rPr>
                <w:rFonts w:eastAsia="Times New Roman" w:cs="Calibri"/>
              </w:rPr>
            </w:pPr>
            <w:r w:rsidRPr="00286679">
              <w:rPr>
                <w:rFonts w:eastAsia="Times New Roman" w:cs="Calibri"/>
              </w:rPr>
              <w:t>Author </w:t>
            </w:r>
          </w:p>
        </w:tc>
        <w:tc>
          <w:tcPr>
            <w:tcW w:w="2248" w:type="dxa"/>
            <w:shd w:val="clear" w:color="auto" w:fill="auto"/>
            <w:hideMark/>
          </w:tcPr>
          <w:p w:rsidRPr="00286679" w:rsidR="00984511" w:rsidP="002469C0" w:rsidRDefault="00984511" w14:paraId="5A897449" w14:textId="77777777">
            <w:pPr>
              <w:jc w:val="both"/>
              <w:textAlignment w:val="baseline"/>
              <w:rPr>
                <w:rFonts w:eastAsia="Times New Roman" w:cs="Calibri"/>
              </w:rPr>
            </w:pPr>
            <w:r>
              <w:rPr>
                <w:rFonts w:eastAsia="Times New Roman" w:cs="Calibri"/>
              </w:rPr>
              <w:t>PWA</w:t>
            </w:r>
          </w:p>
        </w:tc>
      </w:tr>
      <w:tr w:rsidRPr="004764F6" w:rsidR="00984511" w:rsidTr="0057280C" w14:paraId="43030C5E" w14:textId="77777777">
        <w:trPr>
          <w:jc w:val="center"/>
        </w:trPr>
        <w:tc>
          <w:tcPr>
            <w:tcW w:w="2248" w:type="dxa"/>
            <w:shd w:val="clear" w:color="auto" w:fill="auto"/>
            <w:hideMark/>
          </w:tcPr>
          <w:p w:rsidRPr="00286679" w:rsidR="00984511" w:rsidP="002469C0" w:rsidRDefault="00984511" w14:paraId="1B1C6520" w14:textId="77777777">
            <w:pPr>
              <w:jc w:val="both"/>
              <w:textAlignment w:val="baseline"/>
              <w:rPr>
                <w:rFonts w:eastAsia="Times New Roman" w:cs="Calibri"/>
              </w:rPr>
            </w:pPr>
            <w:r w:rsidRPr="00286679">
              <w:rPr>
                <w:rFonts w:eastAsia="Times New Roman" w:cs="Calibri"/>
              </w:rPr>
              <w:t>Approved by SLT </w:t>
            </w:r>
          </w:p>
        </w:tc>
        <w:tc>
          <w:tcPr>
            <w:tcW w:w="2249" w:type="dxa"/>
            <w:shd w:val="clear" w:color="auto" w:fill="auto"/>
            <w:hideMark/>
          </w:tcPr>
          <w:p w:rsidRPr="00286679" w:rsidR="00984511" w:rsidP="002469C0" w:rsidRDefault="00984511" w14:paraId="2B6041EF" w14:textId="33DE79C2">
            <w:pPr>
              <w:jc w:val="both"/>
              <w:textAlignment w:val="baseline"/>
              <w:rPr>
                <w:rFonts w:eastAsia="Times New Roman" w:cs="Calibri"/>
              </w:rPr>
            </w:pPr>
            <w:r w:rsidRPr="00286679">
              <w:rPr>
                <w:rFonts w:eastAsia="Times New Roman" w:cs="Calibri"/>
              </w:rPr>
              <w:t> </w:t>
            </w:r>
            <w:r w:rsidR="00070BB4">
              <w:rPr>
                <w:rFonts w:eastAsia="Times New Roman" w:cs="Calibri"/>
              </w:rPr>
              <w:t>Yes</w:t>
            </w:r>
          </w:p>
        </w:tc>
        <w:tc>
          <w:tcPr>
            <w:tcW w:w="2249" w:type="dxa"/>
            <w:shd w:val="clear" w:color="auto" w:fill="auto"/>
            <w:hideMark/>
          </w:tcPr>
          <w:p w:rsidRPr="00286679" w:rsidR="00984511" w:rsidP="002469C0" w:rsidRDefault="00984511" w14:paraId="26CE4857" w14:textId="77777777">
            <w:pPr>
              <w:jc w:val="both"/>
              <w:textAlignment w:val="baseline"/>
              <w:rPr>
                <w:rFonts w:eastAsia="Times New Roman" w:cs="Calibri"/>
              </w:rPr>
            </w:pPr>
            <w:r w:rsidRPr="00286679">
              <w:rPr>
                <w:rFonts w:eastAsia="Times New Roman" w:cs="Calibri"/>
              </w:rPr>
              <w:t>Date </w:t>
            </w:r>
          </w:p>
        </w:tc>
        <w:tc>
          <w:tcPr>
            <w:tcW w:w="2248" w:type="dxa"/>
            <w:shd w:val="clear" w:color="auto" w:fill="auto"/>
            <w:hideMark/>
          </w:tcPr>
          <w:p w:rsidRPr="00286679" w:rsidR="00984511" w:rsidP="002469C0" w:rsidRDefault="00984511" w14:paraId="52B9F544" w14:textId="02785549">
            <w:pPr>
              <w:jc w:val="both"/>
              <w:textAlignment w:val="baseline"/>
              <w:rPr>
                <w:rFonts w:eastAsia="Times New Roman" w:cs="Calibri"/>
              </w:rPr>
            </w:pPr>
            <w:r w:rsidRPr="00286679">
              <w:rPr>
                <w:rFonts w:eastAsia="Times New Roman" w:cs="Calibri"/>
              </w:rPr>
              <w:t> </w:t>
            </w:r>
            <w:r w:rsidR="00070BB4">
              <w:rPr>
                <w:rFonts w:eastAsia="Times New Roman" w:cs="Calibri"/>
              </w:rPr>
              <w:t>5</w:t>
            </w:r>
            <w:r w:rsidRPr="00070BB4" w:rsidR="00070BB4">
              <w:rPr>
                <w:rFonts w:eastAsia="Times New Roman" w:cs="Calibri"/>
                <w:vertAlign w:val="superscript"/>
              </w:rPr>
              <w:t>th</w:t>
            </w:r>
            <w:r w:rsidR="00070BB4">
              <w:rPr>
                <w:rFonts w:eastAsia="Times New Roman" w:cs="Calibri"/>
              </w:rPr>
              <w:t xml:space="preserve"> October 2020</w:t>
            </w:r>
          </w:p>
        </w:tc>
      </w:tr>
      <w:tr w:rsidRPr="004764F6" w:rsidR="00984511" w:rsidTr="0057280C" w14:paraId="638698A8" w14:textId="77777777">
        <w:trPr>
          <w:jc w:val="center"/>
        </w:trPr>
        <w:tc>
          <w:tcPr>
            <w:tcW w:w="2248" w:type="dxa"/>
            <w:shd w:val="clear" w:color="auto" w:fill="auto"/>
            <w:hideMark/>
          </w:tcPr>
          <w:p w:rsidRPr="00286679" w:rsidR="00984511" w:rsidP="002469C0" w:rsidRDefault="00984511" w14:paraId="66FE43BE" w14:textId="77777777">
            <w:pPr>
              <w:jc w:val="both"/>
              <w:textAlignment w:val="baseline"/>
              <w:rPr>
                <w:rFonts w:eastAsia="Times New Roman" w:cs="Calibri"/>
              </w:rPr>
            </w:pPr>
            <w:r w:rsidRPr="00286679">
              <w:rPr>
                <w:rFonts w:eastAsia="Times New Roman" w:cs="Calibri"/>
              </w:rPr>
              <w:t>Last Review </w:t>
            </w:r>
          </w:p>
        </w:tc>
        <w:tc>
          <w:tcPr>
            <w:tcW w:w="2249" w:type="dxa"/>
            <w:shd w:val="clear" w:color="auto" w:fill="auto"/>
            <w:hideMark/>
          </w:tcPr>
          <w:p w:rsidRPr="00286679" w:rsidR="00984511" w:rsidP="002469C0" w:rsidRDefault="001134BF" w14:paraId="4379C8CF" w14:textId="39A4DC24">
            <w:pPr>
              <w:jc w:val="both"/>
              <w:textAlignment w:val="baseline"/>
              <w:rPr>
                <w:rFonts w:eastAsia="Times New Roman" w:cs="Calibri"/>
              </w:rPr>
            </w:pPr>
            <w:r>
              <w:rPr>
                <w:rFonts w:eastAsia="Times New Roman" w:cs="Calibri"/>
              </w:rPr>
              <w:t>January</w:t>
            </w:r>
            <w:r w:rsidRPr="00286679" w:rsidR="00984511">
              <w:rPr>
                <w:rFonts w:eastAsia="Times New Roman" w:cs="Calibri"/>
              </w:rPr>
              <w:t xml:space="preserve"> 202</w:t>
            </w:r>
            <w:r>
              <w:rPr>
                <w:rFonts w:eastAsia="Times New Roman" w:cs="Calibri"/>
              </w:rPr>
              <w:t>1</w:t>
            </w:r>
            <w:r w:rsidRPr="00286679" w:rsidR="00984511">
              <w:rPr>
                <w:rFonts w:eastAsia="Times New Roman" w:cs="Calibri"/>
              </w:rPr>
              <w:t> </w:t>
            </w:r>
          </w:p>
        </w:tc>
        <w:tc>
          <w:tcPr>
            <w:tcW w:w="2249" w:type="dxa"/>
            <w:shd w:val="clear" w:color="auto" w:fill="auto"/>
            <w:hideMark/>
          </w:tcPr>
          <w:p w:rsidRPr="00286679" w:rsidR="00984511" w:rsidP="002469C0" w:rsidRDefault="00984511" w14:paraId="32197F8C" w14:textId="77777777">
            <w:pPr>
              <w:jc w:val="both"/>
              <w:textAlignment w:val="baseline"/>
              <w:rPr>
                <w:rFonts w:eastAsia="Times New Roman" w:cs="Calibri"/>
              </w:rPr>
            </w:pPr>
            <w:r w:rsidRPr="00286679">
              <w:rPr>
                <w:rFonts w:eastAsia="Times New Roman" w:cs="Calibri"/>
              </w:rPr>
              <w:t>Next Review </w:t>
            </w:r>
          </w:p>
        </w:tc>
        <w:tc>
          <w:tcPr>
            <w:tcW w:w="2248" w:type="dxa"/>
            <w:shd w:val="clear" w:color="auto" w:fill="auto"/>
            <w:hideMark/>
          </w:tcPr>
          <w:p w:rsidRPr="00286679" w:rsidR="00984511" w:rsidP="002469C0" w:rsidRDefault="001134BF" w14:paraId="173EE93D" w14:textId="5D04843B">
            <w:pPr>
              <w:jc w:val="both"/>
              <w:textAlignment w:val="baseline"/>
              <w:rPr>
                <w:rFonts w:eastAsia="Times New Roman" w:cs="Calibri"/>
              </w:rPr>
            </w:pPr>
            <w:r>
              <w:rPr>
                <w:rFonts w:eastAsia="Times New Roman" w:cs="Calibri"/>
              </w:rPr>
              <w:t>January</w:t>
            </w:r>
            <w:r w:rsidRPr="00286679" w:rsidR="00984511">
              <w:rPr>
                <w:rFonts w:eastAsia="Times New Roman" w:cs="Calibri"/>
              </w:rPr>
              <w:t xml:space="preserve"> 202</w:t>
            </w:r>
            <w:r>
              <w:rPr>
                <w:rFonts w:eastAsia="Times New Roman" w:cs="Calibri"/>
              </w:rPr>
              <w:t>2</w:t>
            </w:r>
          </w:p>
        </w:tc>
      </w:tr>
      <w:tr w:rsidRPr="004764F6" w:rsidR="00984511" w:rsidTr="0057280C" w14:paraId="2394CAEB" w14:textId="77777777">
        <w:trPr>
          <w:jc w:val="center"/>
        </w:trPr>
        <w:tc>
          <w:tcPr>
            <w:tcW w:w="2248" w:type="dxa"/>
            <w:shd w:val="clear" w:color="auto" w:fill="auto"/>
            <w:hideMark/>
          </w:tcPr>
          <w:p w:rsidRPr="00286679" w:rsidR="00984511" w:rsidP="002469C0" w:rsidRDefault="00984511" w14:paraId="3D9B5A85" w14:textId="77777777">
            <w:pPr>
              <w:jc w:val="both"/>
              <w:textAlignment w:val="baseline"/>
              <w:rPr>
                <w:rFonts w:eastAsia="Times New Roman" w:cs="Calibri"/>
              </w:rPr>
            </w:pPr>
            <w:r w:rsidRPr="00286679">
              <w:rPr>
                <w:rFonts w:eastAsia="Times New Roman" w:cs="Calibri"/>
              </w:rPr>
              <w:t>Version </w:t>
            </w:r>
          </w:p>
        </w:tc>
        <w:tc>
          <w:tcPr>
            <w:tcW w:w="2249" w:type="dxa"/>
            <w:shd w:val="clear" w:color="auto" w:fill="auto"/>
            <w:hideMark/>
          </w:tcPr>
          <w:p w:rsidRPr="00286679" w:rsidR="00984511" w:rsidP="002469C0" w:rsidRDefault="00984511" w14:paraId="0BEC72F7" w14:textId="77777777">
            <w:pPr>
              <w:jc w:val="both"/>
              <w:textAlignment w:val="baseline"/>
              <w:rPr>
                <w:rFonts w:eastAsia="Times New Roman" w:cs="Calibri"/>
              </w:rPr>
            </w:pPr>
            <w:r w:rsidRPr="00286679">
              <w:rPr>
                <w:rFonts w:eastAsia="Times New Roman" w:cs="Calibri"/>
              </w:rPr>
              <w:t>Author </w:t>
            </w:r>
          </w:p>
        </w:tc>
        <w:tc>
          <w:tcPr>
            <w:tcW w:w="2249" w:type="dxa"/>
            <w:shd w:val="clear" w:color="auto" w:fill="auto"/>
            <w:hideMark/>
          </w:tcPr>
          <w:p w:rsidRPr="00286679" w:rsidR="00984511" w:rsidP="002469C0" w:rsidRDefault="00984511" w14:paraId="09032E9F" w14:textId="77777777">
            <w:pPr>
              <w:jc w:val="both"/>
              <w:textAlignment w:val="baseline"/>
              <w:rPr>
                <w:rFonts w:eastAsia="Times New Roman" w:cs="Calibri"/>
              </w:rPr>
            </w:pPr>
            <w:r w:rsidRPr="00286679">
              <w:rPr>
                <w:rFonts w:eastAsia="Times New Roman" w:cs="Calibri"/>
              </w:rPr>
              <w:t>Issue date </w:t>
            </w:r>
          </w:p>
        </w:tc>
        <w:tc>
          <w:tcPr>
            <w:tcW w:w="2248" w:type="dxa"/>
            <w:shd w:val="clear" w:color="auto" w:fill="auto"/>
            <w:hideMark/>
          </w:tcPr>
          <w:p w:rsidRPr="00286679" w:rsidR="00984511" w:rsidP="002469C0" w:rsidRDefault="00984511" w14:paraId="5A2048C6" w14:textId="77777777">
            <w:pPr>
              <w:jc w:val="both"/>
              <w:textAlignment w:val="baseline"/>
              <w:rPr>
                <w:rFonts w:eastAsia="Times New Roman" w:cs="Calibri"/>
              </w:rPr>
            </w:pPr>
            <w:r w:rsidRPr="00286679">
              <w:rPr>
                <w:rFonts w:eastAsia="Times New Roman" w:cs="Calibri"/>
              </w:rPr>
              <w:t>Summery </w:t>
            </w:r>
          </w:p>
        </w:tc>
      </w:tr>
      <w:tr w:rsidRPr="004764F6" w:rsidR="00984511" w:rsidTr="0057280C" w14:paraId="21E72AFE" w14:textId="77777777">
        <w:trPr>
          <w:jc w:val="center"/>
        </w:trPr>
        <w:tc>
          <w:tcPr>
            <w:tcW w:w="2248" w:type="dxa"/>
            <w:shd w:val="clear" w:color="auto" w:fill="auto"/>
            <w:hideMark/>
          </w:tcPr>
          <w:p w:rsidRPr="00286679" w:rsidR="00984511" w:rsidP="002469C0" w:rsidRDefault="00984511" w14:paraId="1E395DEF" w14:textId="77777777">
            <w:pPr>
              <w:jc w:val="both"/>
              <w:textAlignment w:val="baseline"/>
              <w:rPr>
                <w:rFonts w:eastAsia="Times New Roman" w:cs="Calibri"/>
              </w:rPr>
            </w:pPr>
            <w:r w:rsidRPr="00286679">
              <w:rPr>
                <w:rFonts w:eastAsia="Times New Roman" w:cs="Calibri"/>
              </w:rPr>
              <w:t>V.1 </w:t>
            </w:r>
          </w:p>
        </w:tc>
        <w:tc>
          <w:tcPr>
            <w:tcW w:w="2249" w:type="dxa"/>
            <w:shd w:val="clear" w:color="auto" w:fill="auto"/>
            <w:hideMark/>
          </w:tcPr>
          <w:p w:rsidRPr="00286679" w:rsidR="00984511" w:rsidP="002469C0" w:rsidRDefault="00984511" w14:paraId="19D55505" w14:textId="77777777">
            <w:pPr>
              <w:jc w:val="both"/>
              <w:textAlignment w:val="baseline"/>
              <w:rPr>
                <w:rFonts w:eastAsia="Times New Roman" w:cs="Calibri"/>
              </w:rPr>
            </w:pPr>
            <w:r>
              <w:rPr>
                <w:rFonts w:eastAsia="Times New Roman" w:cs="Calibri"/>
              </w:rPr>
              <w:t>SS</w:t>
            </w:r>
          </w:p>
        </w:tc>
        <w:tc>
          <w:tcPr>
            <w:tcW w:w="2249" w:type="dxa"/>
            <w:shd w:val="clear" w:color="auto" w:fill="auto"/>
            <w:hideMark/>
          </w:tcPr>
          <w:p w:rsidRPr="00286679" w:rsidR="00984511" w:rsidP="002469C0" w:rsidRDefault="00984511" w14:paraId="282B6753" w14:textId="77777777">
            <w:pPr>
              <w:jc w:val="both"/>
              <w:textAlignment w:val="baseline"/>
              <w:rPr>
                <w:rFonts w:eastAsia="Times New Roman" w:cs="Calibri"/>
              </w:rPr>
            </w:pPr>
            <w:r>
              <w:rPr>
                <w:rFonts w:eastAsia="Times New Roman" w:cs="Calibri"/>
              </w:rPr>
              <w:t>October 2015</w:t>
            </w:r>
          </w:p>
        </w:tc>
        <w:tc>
          <w:tcPr>
            <w:tcW w:w="2248" w:type="dxa"/>
            <w:shd w:val="clear" w:color="auto" w:fill="auto"/>
            <w:hideMark/>
          </w:tcPr>
          <w:p w:rsidRPr="00286679" w:rsidR="00984511" w:rsidP="002469C0" w:rsidRDefault="00984511" w14:paraId="2427B212" w14:textId="77777777">
            <w:pPr>
              <w:jc w:val="both"/>
              <w:textAlignment w:val="baseline"/>
              <w:rPr>
                <w:rFonts w:eastAsia="Times New Roman" w:cs="Calibri"/>
              </w:rPr>
            </w:pPr>
            <w:r w:rsidRPr="00286679">
              <w:rPr>
                <w:rFonts w:eastAsia="Times New Roman" w:cs="Calibri"/>
              </w:rPr>
              <w:t>First draft </w:t>
            </w:r>
          </w:p>
        </w:tc>
      </w:tr>
      <w:tr w:rsidRPr="004764F6" w:rsidR="00984511" w:rsidTr="0057280C" w14:paraId="268ECF07" w14:textId="77777777">
        <w:trPr>
          <w:jc w:val="center"/>
        </w:trPr>
        <w:tc>
          <w:tcPr>
            <w:tcW w:w="2248" w:type="dxa"/>
            <w:shd w:val="clear" w:color="auto" w:fill="auto"/>
          </w:tcPr>
          <w:p w:rsidRPr="00286679" w:rsidR="00984511" w:rsidP="002469C0" w:rsidRDefault="00984511" w14:paraId="3C690C91" w14:textId="77777777">
            <w:pPr>
              <w:jc w:val="both"/>
              <w:textAlignment w:val="baseline"/>
              <w:rPr>
                <w:rFonts w:eastAsia="Times New Roman" w:cs="Calibri"/>
              </w:rPr>
            </w:pPr>
            <w:r>
              <w:rPr>
                <w:rFonts w:eastAsia="Times New Roman" w:cs="Calibri"/>
              </w:rPr>
              <w:t>V.2</w:t>
            </w:r>
          </w:p>
        </w:tc>
        <w:tc>
          <w:tcPr>
            <w:tcW w:w="2249" w:type="dxa"/>
            <w:shd w:val="clear" w:color="auto" w:fill="auto"/>
          </w:tcPr>
          <w:p w:rsidR="00984511" w:rsidP="002469C0" w:rsidRDefault="00984511" w14:paraId="2513FCA8" w14:textId="77777777">
            <w:pPr>
              <w:jc w:val="both"/>
              <w:textAlignment w:val="baseline"/>
              <w:rPr>
                <w:rFonts w:eastAsia="Times New Roman" w:cs="Calibri"/>
              </w:rPr>
            </w:pPr>
            <w:r>
              <w:rPr>
                <w:rFonts w:eastAsia="Times New Roman" w:cs="Calibri"/>
              </w:rPr>
              <w:t>SS</w:t>
            </w:r>
          </w:p>
        </w:tc>
        <w:tc>
          <w:tcPr>
            <w:tcW w:w="2249" w:type="dxa"/>
            <w:shd w:val="clear" w:color="auto" w:fill="auto"/>
          </w:tcPr>
          <w:p w:rsidR="00984511" w:rsidP="002469C0" w:rsidRDefault="00984511" w14:paraId="0AD074AE" w14:textId="77777777">
            <w:pPr>
              <w:jc w:val="both"/>
              <w:textAlignment w:val="baseline"/>
              <w:rPr>
                <w:rFonts w:eastAsia="Times New Roman" w:cs="Calibri"/>
              </w:rPr>
            </w:pPr>
            <w:r>
              <w:rPr>
                <w:rFonts w:eastAsia="Times New Roman" w:cs="Calibri"/>
              </w:rPr>
              <w:t>October 2018</w:t>
            </w:r>
          </w:p>
        </w:tc>
        <w:tc>
          <w:tcPr>
            <w:tcW w:w="2248" w:type="dxa"/>
            <w:shd w:val="clear" w:color="auto" w:fill="auto"/>
          </w:tcPr>
          <w:p w:rsidRPr="00286679" w:rsidR="00984511" w:rsidP="002469C0" w:rsidRDefault="00984511" w14:paraId="7A18DACC" w14:textId="77777777">
            <w:pPr>
              <w:jc w:val="both"/>
              <w:textAlignment w:val="baseline"/>
              <w:rPr>
                <w:rFonts w:eastAsia="Times New Roman" w:cs="Calibri"/>
              </w:rPr>
            </w:pPr>
            <w:r>
              <w:rPr>
                <w:rFonts w:eastAsia="Times New Roman" w:cs="Calibri"/>
              </w:rPr>
              <w:t>Review</w:t>
            </w:r>
          </w:p>
        </w:tc>
      </w:tr>
      <w:tr w:rsidRPr="004764F6" w:rsidR="00984511" w:rsidTr="0057280C" w14:paraId="2473816E" w14:textId="77777777">
        <w:trPr>
          <w:jc w:val="center"/>
        </w:trPr>
        <w:tc>
          <w:tcPr>
            <w:tcW w:w="2248" w:type="dxa"/>
            <w:shd w:val="clear" w:color="auto" w:fill="auto"/>
          </w:tcPr>
          <w:p w:rsidRPr="00286679" w:rsidR="00984511" w:rsidP="002469C0" w:rsidRDefault="00984511" w14:paraId="4FA91064" w14:textId="77777777">
            <w:pPr>
              <w:jc w:val="both"/>
              <w:textAlignment w:val="baseline"/>
              <w:rPr>
                <w:rFonts w:eastAsia="Times New Roman" w:cs="Calibri"/>
              </w:rPr>
            </w:pPr>
            <w:r>
              <w:rPr>
                <w:rFonts w:eastAsia="Times New Roman" w:cs="Calibri"/>
              </w:rPr>
              <w:t>V.3</w:t>
            </w:r>
          </w:p>
        </w:tc>
        <w:tc>
          <w:tcPr>
            <w:tcW w:w="2249" w:type="dxa"/>
            <w:shd w:val="clear" w:color="auto" w:fill="auto"/>
          </w:tcPr>
          <w:p w:rsidR="00984511" w:rsidP="002469C0" w:rsidRDefault="00984511" w14:paraId="23E6A5CB" w14:textId="77777777">
            <w:pPr>
              <w:jc w:val="both"/>
              <w:textAlignment w:val="baseline"/>
              <w:rPr>
                <w:rFonts w:eastAsia="Times New Roman" w:cs="Calibri"/>
              </w:rPr>
            </w:pPr>
            <w:r>
              <w:rPr>
                <w:rFonts w:eastAsia="Times New Roman" w:cs="Calibri"/>
              </w:rPr>
              <w:t>PWA</w:t>
            </w:r>
          </w:p>
        </w:tc>
        <w:tc>
          <w:tcPr>
            <w:tcW w:w="2249" w:type="dxa"/>
            <w:shd w:val="clear" w:color="auto" w:fill="auto"/>
          </w:tcPr>
          <w:p w:rsidR="00984511" w:rsidP="002469C0" w:rsidRDefault="00984511" w14:paraId="627331F0" w14:textId="77777777">
            <w:pPr>
              <w:jc w:val="both"/>
              <w:textAlignment w:val="baseline"/>
              <w:rPr>
                <w:rFonts w:eastAsia="Times New Roman" w:cs="Calibri"/>
              </w:rPr>
            </w:pPr>
            <w:r>
              <w:rPr>
                <w:rFonts w:eastAsia="Times New Roman" w:cs="Calibri"/>
              </w:rPr>
              <w:t>May 2020</w:t>
            </w:r>
          </w:p>
        </w:tc>
        <w:tc>
          <w:tcPr>
            <w:tcW w:w="2248" w:type="dxa"/>
            <w:shd w:val="clear" w:color="auto" w:fill="auto"/>
          </w:tcPr>
          <w:p w:rsidRPr="00286679" w:rsidR="00984511" w:rsidP="002469C0" w:rsidRDefault="00984511" w14:paraId="784FB22E" w14:textId="77777777">
            <w:pPr>
              <w:jc w:val="both"/>
              <w:textAlignment w:val="baseline"/>
              <w:rPr>
                <w:rFonts w:eastAsia="Times New Roman" w:cs="Calibri"/>
              </w:rPr>
            </w:pPr>
            <w:r>
              <w:rPr>
                <w:rFonts w:eastAsia="Times New Roman" w:cs="Calibri"/>
              </w:rPr>
              <w:t>Review</w:t>
            </w:r>
          </w:p>
        </w:tc>
      </w:tr>
      <w:tr w:rsidRPr="004764F6" w:rsidR="001134BF" w:rsidTr="0057280C" w14:paraId="0027FE63" w14:textId="77777777">
        <w:trPr>
          <w:jc w:val="center"/>
        </w:trPr>
        <w:tc>
          <w:tcPr>
            <w:tcW w:w="2248" w:type="dxa"/>
            <w:shd w:val="clear" w:color="auto" w:fill="auto"/>
          </w:tcPr>
          <w:p w:rsidR="001134BF" w:rsidP="002469C0" w:rsidRDefault="001134BF" w14:paraId="5B8A9032" w14:textId="4641C758">
            <w:pPr>
              <w:jc w:val="both"/>
              <w:textAlignment w:val="baseline"/>
              <w:rPr>
                <w:rFonts w:eastAsia="Times New Roman" w:cs="Calibri"/>
              </w:rPr>
            </w:pPr>
            <w:r>
              <w:rPr>
                <w:rFonts w:eastAsia="Times New Roman" w:cs="Calibri"/>
              </w:rPr>
              <w:t>V.4</w:t>
            </w:r>
          </w:p>
        </w:tc>
        <w:tc>
          <w:tcPr>
            <w:tcW w:w="2249" w:type="dxa"/>
            <w:shd w:val="clear" w:color="auto" w:fill="auto"/>
          </w:tcPr>
          <w:p w:rsidR="001134BF" w:rsidP="002469C0" w:rsidRDefault="001134BF" w14:paraId="6DCAA335" w14:textId="339163C0">
            <w:pPr>
              <w:jc w:val="both"/>
              <w:textAlignment w:val="baseline"/>
              <w:rPr>
                <w:rFonts w:eastAsia="Times New Roman" w:cs="Calibri"/>
              </w:rPr>
            </w:pPr>
            <w:r>
              <w:rPr>
                <w:rFonts w:eastAsia="Times New Roman" w:cs="Calibri"/>
              </w:rPr>
              <w:t>PWA</w:t>
            </w:r>
          </w:p>
        </w:tc>
        <w:tc>
          <w:tcPr>
            <w:tcW w:w="2249" w:type="dxa"/>
            <w:shd w:val="clear" w:color="auto" w:fill="auto"/>
          </w:tcPr>
          <w:p w:rsidR="001134BF" w:rsidP="002469C0" w:rsidRDefault="001134BF" w14:paraId="11E40851" w14:textId="04916929">
            <w:pPr>
              <w:jc w:val="both"/>
              <w:textAlignment w:val="baseline"/>
              <w:rPr>
                <w:rFonts w:eastAsia="Times New Roman" w:cs="Calibri"/>
              </w:rPr>
            </w:pPr>
            <w:r>
              <w:rPr>
                <w:rFonts w:eastAsia="Times New Roman" w:cs="Calibri"/>
              </w:rPr>
              <w:t>January 2021</w:t>
            </w:r>
          </w:p>
        </w:tc>
        <w:tc>
          <w:tcPr>
            <w:tcW w:w="2248" w:type="dxa"/>
            <w:shd w:val="clear" w:color="auto" w:fill="auto"/>
          </w:tcPr>
          <w:p w:rsidR="001134BF" w:rsidP="002469C0" w:rsidRDefault="001134BF" w14:paraId="741FB9CE" w14:textId="0DECD263">
            <w:pPr>
              <w:jc w:val="both"/>
              <w:textAlignment w:val="baseline"/>
              <w:rPr>
                <w:rFonts w:eastAsia="Times New Roman" w:cs="Calibri"/>
              </w:rPr>
            </w:pPr>
            <w:r>
              <w:rPr>
                <w:rFonts w:eastAsia="Times New Roman" w:cs="Calibri"/>
              </w:rPr>
              <w:t>REview</w:t>
            </w:r>
          </w:p>
        </w:tc>
      </w:tr>
    </w:tbl>
    <w:p w:rsidR="00984511" w:rsidP="002469C0" w:rsidRDefault="00984511" w14:paraId="7E391008" w14:textId="77777777">
      <w:pPr>
        <w:spacing w:line="200" w:lineRule="exact"/>
        <w:jc w:val="both"/>
        <w:rPr>
          <w:rFonts w:ascii="Times New Roman" w:hAnsi="Times New Roman" w:eastAsia="Times New Roman"/>
          <w:sz w:val="24"/>
        </w:rPr>
      </w:pPr>
    </w:p>
    <w:p w:rsidRPr="004916DF" w:rsidR="00303B0E" w:rsidP="00303B0E" w:rsidRDefault="00303B0E" w14:paraId="19695B0E" w14:textId="77777777">
      <w:pPr>
        <w:pStyle w:val="NoSpacing"/>
        <w:ind w:left="0" w:firstLine="0"/>
        <w:rPr>
          <w:b/>
          <w:bCs/>
          <w:sz w:val="22"/>
        </w:rPr>
      </w:pPr>
      <w:r w:rsidRPr="004916DF">
        <w:rPr>
          <w:b/>
          <w:bCs/>
          <w:sz w:val="22"/>
        </w:rPr>
        <w:t>Key Person(s)</w:t>
      </w:r>
    </w:p>
    <w:p w:rsidRPr="004916DF" w:rsidR="00303B0E" w:rsidP="00303B0E" w:rsidRDefault="00303B0E" w14:paraId="79D6E466" w14:textId="77777777">
      <w:pPr>
        <w:pStyle w:val="NoSpacing"/>
        <w:ind w:left="0" w:firstLine="0"/>
        <w:rPr>
          <w:b/>
          <w:bCs/>
          <w:sz w:val="22"/>
        </w:rPr>
      </w:pPr>
    </w:p>
    <w:p w:rsidRPr="004916DF" w:rsidR="00303B0E" w:rsidP="00303B0E" w:rsidRDefault="00303B0E" w14:paraId="440525B9" w14:textId="77777777">
      <w:pPr>
        <w:pStyle w:val="NoSpacing"/>
        <w:ind w:left="0" w:firstLine="0"/>
        <w:rPr>
          <w:b/>
          <w:bCs/>
          <w:sz w:val="22"/>
        </w:rPr>
      </w:pPr>
      <w:r w:rsidRPr="004916DF">
        <w:rPr>
          <w:b/>
          <w:bCs/>
          <w:sz w:val="22"/>
        </w:rPr>
        <w:t>Managing Director</w:t>
      </w:r>
    </w:p>
    <w:p w:rsidRPr="004916DF" w:rsidR="00303B0E" w:rsidP="00303B0E" w:rsidRDefault="00303B0E" w14:paraId="1485100A" w14:textId="77777777">
      <w:pPr>
        <w:pStyle w:val="NoSpacing"/>
        <w:ind w:left="0" w:firstLine="0"/>
        <w:rPr>
          <w:b/>
          <w:bCs/>
          <w:sz w:val="22"/>
        </w:rPr>
      </w:pPr>
      <w:r w:rsidRPr="004916DF">
        <w:rPr>
          <w:b/>
          <w:bCs/>
          <w:sz w:val="22"/>
        </w:rPr>
        <w:t>Director of Operations</w:t>
      </w:r>
    </w:p>
    <w:p w:rsidRPr="004916DF" w:rsidR="00303B0E" w:rsidP="00303B0E" w:rsidRDefault="00303B0E" w14:paraId="4FC4FD57" w14:textId="77777777">
      <w:pPr>
        <w:pStyle w:val="NoSpacing"/>
        <w:ind w:left="0" w:firstLine="0"/>
        <w:rPr>
          <w:b/>
          <w:bCs/>
          <w:sz w:val="22"/>
        </w:rPr>
      </w:pPr>
      <w:r w:rsidRPr="58444EF4" w:rsidR="00303B0E">
        <w:rPr>
          <w:b w:val="1"/>
          <w:bCs w:val="1"/>
          <w:sz w:val="22"/>
          <w:szCs w:val="22"/>
        </w:rPr>
        <w:t xml:space="preserve">Higher Education Manager </w:t>
      </w:r>
    </w:p>
    <w:p w:rsidRPr="004916DF" w:rsidR="00303B0E" w:rsidP="58444EF4" w:rsidRDefault="00303B0E" w14:paraId="2F24E62F" w14:textId="5A95F390">
      <w:pPr>
        <w:spacing w:after="160" w:line="259" w:lineRule="auto"/>
        <w:ind/>
        <w:jc w:val="both"/>
        <w:rPr>
          <w:rFonts w:ascii="Calibri" w:hAnsi="Calibri" w:eastAsia="Calibri" w:cs="Calibri"/>
          <w:b w:val="0"/>
          <w:bCs w:val="0"/>
          <w:i w:val="0"/>
          <w:iCs w:val="0"/>
          <w:noProof w:val="0"/>
          <w:color w:val="000000" w:themeColor="text1" w:themeTint="FF" w:themeShade="FF"/>
          <w:sz w:val="22"/>
          <w:szCs w:val="22"/>
          <w:lang w:val="en-GB"/>
        </w:rPr>
      </w:pPr>
      <w:r w:rsidRPr="58444EF4" w:rsidR="0F5F9DF1">
        <w:rPr>
          <w:rFonts w:ascii="Calibri" w:hAnsi="Calibri" w:eastAsia="Calibri" w:cs="Calibri"/>
          <w:b w:val="1"/>
          <w:bCs w:val="1"/>
          <w:i w:val="0"/>
          <w:iCs w:val="0"/>
          <w:noProof w:val="0"/>
          <w:color w:val="000000" w:themeColor="text1" w:themeTint="FF" w:themeShade="FF"/>
          <w:sz w:val="22"/>
          <w:szCs w:val="22"/>
          <w:lang w:val="en-GB"/>
        </w:rPr>
        <w:t>Chief of Staff</w:t>
      </w:r>
    </w:p>
    <w:p w:rsidRPr="004916DF" w:rsidR="00303B0E" w:rsidP="58444EF4" w:rsidRDefault="00303B0E" w14:paraId="5337C4CD" w14:textId="214F380F">
      <w:pPr>
        <w:pStyle w:val="NoSpacing"/>
        <w:ind w:left="0" w:firstLine="0"/>
        <w:rPr>
          <w:b w:val="1"/>
          <w:bCs w:val="1"/>
          <w:sz w:val="22"/>
          <w:szCs w:val="22"/>
        </w:rPr>
      </w:pPr>
    </w:p>
    <w:p w:rsidRPr="0064622D" w:rsidR="00541E51" w:rsidP="002469C0" w:rsidRDefault="00C5450B" w14:paraId="2DA6CCEE" w14:textId="61E88B88">
      <w:pPr>
        <w:spacing w:after="0" w:line="360" w:lineRule="auto"/>
        <w:jc w:val="both"/>
        <w:rPr>
          <w:rFonts w:cs="Calibri"/>
          <w:b/>
          <w:bCs/>
        </w:rPr>
      </w:pPr>
      <w:r>
        <w:rPr>
          <w:rFonts w:cs="Calibri"/>
          <w:b/>
          <w:bCs/>
        </w:rPr>
        <w:lastRenderedPageBreak/>
        <w:t>Information, Advice and Guidance Policy</w:t>
      </w:r>
    </w:p>
    <w:p w:rsidRPr="0064622D" w:rsidR="00541E51" w:rsidP="002469C0" w:rsidRDefault="00541E51" w14:paraId="7310852C" w14:textId="77777777">
      <w:pPr>
        <w:spacing w:after="0" w:line="360" w:lineRule="auto"/>
        <w:jc w:val="both"/>
        <w:rPr>
          <w:rFonts w:cs="Calibri"/>
          <w:b/>
          <w:bCs/>
        </w:rPr>
      </w:pPr>
      <w:r w:rsidRPr="0064622D">
        <w:rPr>
          <w:rFonts w:cs="Calibri"/>
          <w:b/>
          <w:bCs/>
        </w:rPr>
        <w:t>Policy Statement</w:t>
      </w:r>
    </w:p>
    <w:p w:rsidR="00984511" w:rsidP="002469C0" w:rsidRDefault="002469C0" w14:paraId="5BD1EA76" w14:textId="065B2A00">
      <w:pPr>
        <w:jc w:val="both"/>
      </w:pPr>
      <w:bookmarkStart w:name="_Hlk40966450" w:id="0"/>
      <w:r>
        <w:t>City College is committed to ensuring that accurate and up to date advice and guidance is provided to all students, staff or any other related individuals</w:t>
      </w:r>
      <w:bookmarkEnd w:id="0"/>
      <w:r w:rsidR="00303B0E">
        <w:t>. The</w:t>
      </w:r>
      <w:r w:rsidR="00984511">
        <w:t xml:space="preserve"> College aims to provide clear, authentic and up to date information, advice and guidance to existing and prospective students enabling them to make right choices about the training programmes that are right for them. The quality of our service is monitored through performance data and feedback from users</w:t>
      </w:r>
    </w:p>
    <w:p w:rsidR="00984511" w:rsidP="002469C0" w:rsidRDefault="00984511" w14:paraId="1F1C85EA" w14:textId="4F2A458F">
      <w:pPr>
        <w:jc w:val="both"/>
      </w:pPr>
      <w:r>
        <w:t xml:space="preserve">The purpose of this policy is to establish clear guidance for the tutors on the delivery of the </w:t>
      </w:r>
      <w:r w:rsidR="00303B0E">
        <w:t>programme</w:t>
      </w:r>
      <w:r>
        <w:t xml:space="preserve"> and to make sure that sufficient information and resources are available to meet the </w:t>
      </w:r>
      <w:r w:rsidR="00303B0E">
        <w:t>C</w:t>
      </w:r>
      <w:r>
        <w:t>ollege aims and the statement of purpose.</w:t>
      </w:r>
    </w:p>
    <w:p w:rsidR="002469C0" w:rsidP="002469C0" w:rsidRDefault="002469C0" w14:paraId="34F2B22F" w14:textId="2A6DACCE">
      <w:pPr>
        <w:jc w:val="both"/>
      </w:pPr>
      <w:r w:rsidRPr="13D84E0E">
        <w:rPr>
          <w:rFonts w:cs="Calibri"/>
        </w:rPr>
        <w:t xml:space="preserve">This </w:t>
      </w:r>
      <w:r>
        <w:rPr>
          <w:rFonts w:cs="Calibri"/>
        </w:rPr>
        <w:t>policy was developed to ensure</w:t>
      </w:r>
      <w:r w:rsidRPr="13D84E0E">
        <w:rPr>
          <w:rFonts w:cs="Calibri"/>
        </w:rPr>
        <w:t xml:space="preserve"> compliance with the following consumer protection legislation</w:t>
      </w:r>
      <w:r w:rsidR="00303B0E">
        <w:rPr>
          <w:rFonts w:cs="Calibri"/>
        </w:rPr>
        <w:t xml:space="preserve"> and guidance</w:t>
      </w:r>
    </w:p>
    <w:p w:rsidRPr="00654926" w:rsidR="002469C0" w:rsidP="002469C0" w:rsidRDefault="002469C0" w14:paraId="5DAA8DF0" w14:textId="77777777">
      <w:pPr>
        <w:pStyle w:val="ListParagraph"/>
        <w:widowControl w:val="0"/>
        <w:numPr>
          <w:ilvl w:val="0"/>
          <w:numId w:val="18"/>
        </w:numPr>
        <w:autoSpaceDE w:val="0"/>
        <w:autoSpaceDN w:val="0"/>
        <w:spacing w:after="0" w:line="240" w:lineRule="auto"/>
        <w:contextualSpacing w:val="0"/>
        <w:jc w:val="both"/>
        <w:rPr>
          <w:rFonts w:cs="Calibri"/>
        </w:rPr>
      </w:pPr>
      <w:r w:rsidRPr="00654926">
        <w:rPr>
          <w:rFonts w:cs="Calibri"/>
        </w:rPr>
        <w:t>Consumer Protection from Unfair Trading Regulations 2008.</w:t>
      </w:r>
    </w:p>
    <w:p w:rsidR="002469C0" w:rsidP="002469C0" w:rsidRDefault="002469C0" w14:paraId="73141A5C" w14:textId="77777777">
      <w:pPr>
        <w:pStyle w:val="ListParagraph"/>
        <w:widowControl w:val="0"/>
        <w:numPr>
          <w:ilvl w:val="0"/>
          <w:numId w:val="18"/>
        </w:numPr>
        <w:autoSpaceDE w:val="0"/>
        <w:autoSpaceDN w:val="0"/>
        <w:spacing w:after="0" w:line="240" w:lineRule="auto"/>
        <w:contextualSpacing w:val="0"/>
        <w:jc w:val="both"/>
      </w:pPr>
      <w:r w:rsidRPr="00654926">
        <w:rPr>
          <w:rFonts w:cs="Calibri"/>
        </w:rPr>
        <w:t>Consumer Contracts (Information, Cancellation and Additional Charges) Regulations 2013</w:t>
      </w:r>
    </w:p>
    <w:p w:rsidRPr="00303B0E" w:rsidR="002469C0" w:rsidP="002469C0" w:rsidRDefault="002469C0" w14:paraId="65442405" w14:textId="71B6503A">
      <w:pPr>
        <w:pStyle w:val="ListParagraph"/>
        <w:widowControl w:val="0"/>
        <w:numPr>
          <w:ilvl w:val="0"/>
          <w:numId w:val="18"/>
        </w:numPr>
        <w:autoSpaceDE w:val="0"/>
        <w:autoSpaceDN w:val="0"/>
        <w:spacing w:after="0" w:line="240" w:lineRule="auto"/>
        <w:contextualSpacing w:val="0"/>
        <w:jc w:val="both"/>
      </w:pPr>
      <w:r w:rsidRPr="00654926">
        <w:rPr>
          <w:rFonts w:cs="Calibri"/>
        </w:rPr>
        <w:t>Consumer Rights Act 2015</w:t>
      </w:r>
    </w:p>
    <w:p w:rsidRPr="00257B7C" w:rsidR="00303B0E" w:rsidP="00303B0E" w:rsidRDefault="00303B0E" w14:paraId="37C49699" w14:textId="77777777">
      <w:pPr>
        <w:pStyle w:val="paragraph"/>
        <w:numPr>
          <w:ilvl w:val="0"/>
          <w:numId w:val="18"/>
        </w:numPr>
        <w:suppressAutoHyphens/>
        <w:autoSpaceDN w:val="0"/>
        <w:spacing w:before="0" w:beforeAutospacing="0" w:after="0" w:afterAutospacing="0"/>
        <w:jc w:val="both"/>
        <w:textAlignment w:val="baseline"/>
        <w:rPr>
          <w:rStyle w:val="eop"/>
        </w:rPr>
      </w:pPr>
      <w:r w:rsidRPr="1C01BF79">
        <w:rPr>
          <w:rStyle w:val="eop"/>
          <w:rFonts w:ascii="Calibri" w:hAnsi="Calibri" w:cs="Calibri"/>
          <w:sz w:val="22"/>
          <w:szCs w:val="22"/>
        </w:rPr>
        <w:t>General Data Protection Regulations 2018</w:t>
      </w:r>
    </w:p>
    <w:p w:rsidRPr="00303B0E" w:rsidR="00303B0E" w:rsidP="00303B0E" w:rsidRDefault="00303B0E" w14:paraId="0BD22EA5" w14:textId="77777777">
      <w:pPr>
        <w:pStyle w:val="ListParagraph"/>
        <w:widowControl w:val="0"/>
        <w:numPr>
          <w:ilvl w:val="0"/>
          <w:numId w:val="18"/>
        </w:numPr>
        <w:autoSpaceDE w:val="0"/>
        <w:autoSpaceDN w:val="0"/>
        <w:spacing w:after="0" w:line="240" w:lineRule="auto"/>
        <w:contextualSpacing w:val="0"/>
        <w:rPr>
          <w:rStyle w:val="eop"/>
          <w:rFonts w:eastAsia="Times New Roman"/>
        </w:rPr>
      </w:pPr>
      <w:r>
        <w:t>The Competition and Markets Authority UK higher education providers: Advice on consumer protection law</w:t>
      </w:r>
    </w:p>
    <w:p w:rsidRPr="002469C0" w:rsidR="00303B0E" w:rsidP="00303B0E" w:rsidRDefault="00303B0E" w14:paraId="7A30A8B1" w14:textId="77777777">
      <w:pPr>
        <w:pStyle w:val="ListParagraph"/>
        <w:widowControl w:val="0"/>
        <w:autoSpaceDE w:val="0"/>
        <w:autoSpaceDN w:val="0"/>
        <w:spacing w:after="0" w:line="240" w:lineRule="auto"/>
        <w:contextualSpacing w:val="0"/>
        <w:jc w:val="both"/>
      </w:pPr>
    </w:p>
    <w:p w:rsidR="002469C0" w:rsidP="002469C0" w:rsidRDefault="002469C0" w14:paraId="32AF34A4" w14:textId="77777777">
      <w:pPr>
        <w:pStyle w:val="ListParagraph"/>
        <w:widowControl w:val="0"/>
        <w:autoSpaceDE w:val="0"/>
        <w:autoSpaceDN w:val="0"/>
        <w:spacing w:after="0" w:line="240" w:lineRule="auto"/>
        <w:contextualSpacing w:val="0"/>
        <w:jc w:val="both"/>
      </w:pPr>
    </w:p>
    <w:p w:rsidRPr="002469C0" w:rsidR="002469C0" w:rsidP="002469C0" w:rsidRDefault="002469C0" w14:paraId="50878415" w14:textId="49F3274A">
      <w:pPr>
        <w:jc w:val="both"/>
        <w:rPr>
          <w:b/>
          <w:bCs/>
        </w:rPr>
      </w:pPr>
      <w:r w:rsidRPr="002469C0">
        <w:rPr>
          <w:b/>
          <w:bCs/>
        </w:rPr>
        <w:t>Approach to Information, Advice and Guidance</w:t>
      </w:r>
    </w:p>
    <w:p w:rsidR="002469C0" w:rsidP="002469C0" w:rsidRDefault="002469C0" w14:paraId="10371655" w14:textId="65FE365E">
      <w:pPr>
        <w:jc w:val="both"/>
      </w:pPr>
      <w:r w:rsidRPr="002469C0">
        <w:t>City College acknowledges that undergraduate students will generally be acting for purposes outside their trade, business or profession, and therefore will be ‘consumers’ in terms of the Consumer Rights Act 2015. Students are likely to be covered by the definition of ‘consumer’ when they are acting for purposes relating to their individual or personal needs. To protect the consumer rights of students and prospective students, City College aims to ensure that all recruited students receive proper guidance on the policies and procedures of the College</w:t>
      </w:r>
    </w:p>
    <w:p w:rsidR="002469C0" w:rsidP="002469C0" w:rsidRDefault="002469C0" w14:paraId="009E2C91" w14:textId="77777777">
      <w:pPr>
        <w:jc w:val="both"/>
      </w:pPr>
      <w:r w:rsidRPr="00703EA6">
        <w:t>Information, advice and guidance is broadly offered to students and prospective students at three stages during their initial induction into City College; The research and application stage during which the prospective student considers options for what and where to study, and then makes an application. The offer stage when the</w:t>
      </w:r>
      <w:r>
        <w:t xml:space="preserve"> prospective student decides whether to accept an offer of a place and finally the enrolment stage when the student enrols. </w:t>
      </w:r>
    </w:p>
    <w:p w:rsidR="002469C0" w:rsidP="002469C0" w:rsidRDefault="002469C0" w14:paraId="4F2076BD" w14:textId="77777777">
      <w:pPr>
        <w:jc w:val="both"/>
      </w:pPr>
      <w:r>
        <w:t>City College recognises the role of the Adverting Standards Authority (ASA) and the</w:t>
      </w:r>
      <w:r w:rsidRPr="00DD3FF7">
        <w:t xml:space="preserve"> Committee of Advertising Practice (CAP)</w:t>
      </w:r>
      <w:r>
        <w:t xml:space="preserve">. All if City College promotion and marketing is delivered directly to students and potential students and therefore our Information, Advice and Guidance complies with the CAP </w:t>
      </w:r>
      <w:r w:rsidRPr="001E07D7">
        <w:t xml:space="preserve">Code of </w:t>
      </w:r>
      <w:hyperlink w:history="1" r:id="rId9">
        <w:r w:rsidRPr="006E147E">
          <w:rPr>
            <w:rStyle w:val="Hyperlink"/>
          </w:rPr>
          <w:t>Non-broadcast Advertising and Direct and Promotional Marketing</w:t>
        </w:r>
      </w:hyperlink>
      <w:r>
        <w:t xml:space="preserve">. </w:t>
      </w:r>
      <w:r w:rsidRPr="002469C0">
        <w:t>Information relating to all City College services is made readily available to all applicants and potential students.</w:t>
      </w:r>
    </w:p>
    <w:p w:rsidRPr="00726E0E" w:rsidR="002469C0" w:rsidP="002469C0" w:rsidRDefault="002469C0" w14:paraId="2B78161E" w14:textId="6F2C0225">
      <w:pPr>
        <w:jc w:val="both"/>
      </w:pPr>
      <w:r>
        <w:t xml:space="preserve">Information relating to </w:t>
      </w:r>
      <w:r w:rsidR="00303B0E">
        <w:t>programme</w:t>
      </w:r>
      <w:r w:rsidRPr="002469C0">
        <w:t xml:space="preserve"> structure, fees and College services</w:t>
      </w:r>
      <w:r>
        <w:t xml:space="preserve"> including our complaints policy and procedure</w:t>
      </w:r>
      <w:r w:rsidRPr="002469C0">
        <w:t xml:space="preserve"> </w:t>
      </w:r>
      <w:r>
        <w:t xml:space="preserve">are provided </w:t>
      </w:r>
      <w:r w:rsidRPr="002469C0">
        <w:t xml:space="preserve">through our website. Student handbooks contain further information relating to </w:t>
      </w:r>
      <w:r w:rsidR="00303B0E">
        <w:t>programme</w:t>
      </w:r>
      <w:r w:rsidRPr="002469C0">
        <w:t xml:space="preserve"> structure and student expectations. Handbooks are also available on the College website and for students through the College Virtual Learning Platform (VLE) once they are enrolled. All City College policies</w:t>
      </w:r>
      <w:r>
        <w:t>, including our Complaints and Information, Advice and Guidance Policies,</w:t>
      </w:r>
      <w:r w:rsidRPr="002469C0">
        <w:t xml:space="preserve"> are available on both the College website and the VLE. </w:t>
      </w:r>
      <w:r>
        <w:t xml:space="preserve">All </w:t>
      </w:r>
      <w:r w:rsidRPr="002469C0">
        <w:t>City College</w:t>
      </w:r>
      <w:r>
        <w:t xml:space="preserve"> policies </w:t>
      </w:r>
      <w:r>
        <w:lastRenderedPageBreak/>
        <w:t>and</w:t>
      </w:r>
      <w:r w:rsidRPr="002469C0">
        <w:t xml:space="preserve"> terms are written in plain and intelligible English to ensure students understand them and how they affect their rights and obligations and how the terms could impact them.</w:t>
      </w:r>
    </w:p>
    <w:p w:rsidRPr="00542819" w:rsidR="00542819" w:rsidP="002469C0" w:rsidRDefault="00542819" w14:paraId="24E14881" w14:textId="65586E68">
      <w:pPr>
        <w:jc w:val="both"/>
        <w:rPr>
          <w:b/>
          <w:bCs/>
        </w:rPr>
      </w:pPr>
      <w:r w:rsidRPr="00542819">
        <w:rPr>
          <w:b/>
          <w:bCs/>
        </w:rPr>
        <w:t xml:space="preserve">Roles and </w:t>
      </w:r>
      <w:r w:rsidR="00303B0E">
        <w:rPr>
          <w:b/>
          <w:bCs/>
        </w:rPr>
        <w:t>R</w:t>
      </w:r>
      <w:r w:rsidRPr="00542819">
        <w:rPr>
          <w:b/>
          <w:bCs/>
        </w:rPr>
        <w:t>esponsibilities</w:t>
      </w:r>
    </w:p>
    <w:p w:rsidRPr="00542819" w:rsidR="00B410EF" w:rsidP="002469C0" w:rsidRDefault="00542819" w14:paraId="3A344C29" w14:textId="12B6C539">
      <w:pPr>
        <w:jc w:val="both"/>
      </w:pPr>
      <w:r w:rsidRPr="00542819">
        <w:t xml:space="preserve">To implement </w:t>
      </w:r>
      <w:r>
        <w:t>the aims of this policy</w:t>
      </w:r>
      <w:r w:rsidRPr="00542819">
        <w:t>, all staff involved in the delivery of Information, advice and guidance will;</w:t>
      </w:r>
    </w:p>
    <w:p w:rsidR="00542819" w:rsidP="002469C0" w:rsidRDefault="00542819" w14:paraId="36B1AF5B" w14:textId="43C3D2A6">
      <w:pPr>
        <w:numPr>
          <w:ilvl w:val="0"/>
          <w:numId w:val="17"/>
        </w:numPr>
        <w:tabs>
          <w:tab w:val="left" w:pos="700"/>
        </w:tabs>
        <w:spacing w:line="0" w:lineRule="atLeast"/>
        <w:jc w:val="both"/>
        <w:rPr>
          <w:sz w:val="21"/>
        </w:rPr>
      </w:pPr>
      <w:r>
        <w:rPr>
          <w:sz w:val="21"/>
        </w:rPr>
        <w:t>All the information has been internally approved</w:t>
      </w:r>
      <w:r w:rsidR="00303B0E">
        <w:rPr>
          <w:sz w:val="21"/>
        </w:rPr>
        <w:t xml:space="preserve"> by either the Director of Operations or the Marketing Manager</w:t>
      </w:r>
      <w:r>
        <w:rPr>
          <w:sz w:val="21"/>
        </w:rPr>
        <w:t xml:space="preserve"> before publication through any medium.</w:t>
      </w:r>
    </w:p>
    <w:p w:rsidR="00542819" w:rsidP="002469C0" w:rsidRDefault="00542819" w14:paraId="105699FA" w14:textId="51DCAB60">
      <w:pPr>
        <w:numPr>
          <w:ilvl w:val="0"/>
          <w:numId w:val="17"/>
        </w:numPr>
        <w:tabs>
          <w:tab w:val="left" w:pos="700"/>
        </w:tabs>
        <w:spacing w:line="314" w:lineRule="auto"/>
        <w:ind w:right="6"/>
        <w:jc w:val="both"/>
      </w:pPr>
      <w:r>
        <w:t>Information, advice and guidance (IAG) is freely available to all</w:t>
      </w:r>
      <w:r w:rsidR="00303B0E">
        <w:t xml:space="preserve"> </w:t>
      </w:r>
      <w:r>
        <w:t xml:space="preserve">concerned through the common mediums such as </w:t>
      </w:r>
      <w:r w:rsidR="00303B0E">
        <w:t xml:space="preserve">the College </w:t>
      </w:r>
      <w:r>
        <w:t xml:space="preserve">website, brochures, </w:t>
      </w:r>
      <w:r w:rsidR="00303B0E">
        <w:t>social media etc</w:t>
      </w:r>
      <w:r>
        <w:t>.</w:t>
      </w:r>
    </w:p>
    <w:p w:rsidR="00542819" w:rsidP="002469C0" w:rsidRDefault="00542819" w14:paraId="56C02C74" w14:textId="424A7681">
      <w:pPr>
        <w:numPr>
          <w:ilvl w:val="0"/>
          <w:numId w:val="17"/>
        </w:numPr>
        <w:tabs>
          <w:tab w:val="left" w:pos="700"/>
        </w:tabs>
        <w:spacing w:line="0" w:lineRule="atLeast"/>
        <w:jc w:val="both"/>
      </w:pPr>
      <w:r>
        <w:t>The information provided is up to date and accurate and will help students and potential students to make a</w:t>
      </w:r>
      <w:r w:rsidR="00303B0E">
        <w:t>n informed decision about their programme choices</w:t>
      </w:r>
    </w:p>
    <w:p w:rsidR="00542819" w:rsidP="002469C0" w:rsidRDefault="00542819" w14:paraId="47987874" w14:textId="39F3C64E">
      <w:pPr>
        <w:numPr>
          <w:ilvl w:val="0"/>
          <w:numId w:val="17"/>
        </w:numPr>
        <w:tabs>
          <w:tab w:val="left" w:pos="700"/>
        </w:tabs>
        <w:spacing w:line="316" w:lineRule="auto"/>
        <w:ind w:right="6"/>
        <w:jc w:val="both"/>
      </w:pPr>
      <w:r>
        <w:t>Where extensive advice is required or if the College is unable to provide further information, links to the relevant resources are made.</w:t>
      </w:r>
    </w:p>
    <w:p w:rsidR="00542819" w:rsidP="002469C0" w:rsidRDefault="00542819" w14:paraId="40F918F6" w14:textId="76F67E49">
      <w:pPr>
        <w:numPr>
          <w:ilvl w:val="0"/>
          <w:numId w:val="17"/>
        </w:numPr>
        <w:tabs>
          <w:tab w:val="left" w:pos="700"/>
        </w:tabs>
        <w:spacing w:line="0" w:lineRule="atLeast"/>
        <w:jc w:val="both"/>
      </w:pPr>
      <w:r>
        <w:t>Suitably qualified or experienced personnel have been dedicated for the advice and guidance of individual.</w:t>
      </w:r>
    </w:p>
    <w:p w:rsidR="00542819" w:rsidP="002469C0" w:rsidRDefault="00542819" w14:paraId="2D1BF2A3" w14:textId="31F567EA">
      <w:pPr>
        <w:numPr>
          <w:ilvl w:val="0"/>
          <w:numId w:val="17"/>
        </w:numPr>
        <w:tabs>
          <w:tab w:val="left" w:pos="700"/>
        </w:tabs>
        <w:spacing w:line="316" w:lineRule="auto"/>
        <w:ind w:right="6"/>
        <w:jc w:val="both"/>
      </w:pPr>
      <w:r>
        <w:t xml:space="preserve">Identifying basic skills needs and referring those students to sources of help in gaining basic skills in literacy, </w:t>
      </w:r>
      <w:r w:rsidR="00303B0E">
        <w:t>language,</w:t>
      </w:r>
      <w:r>
        <w:t xml:space="preserve"> and numeracy</w:t>
      </w:r>
    </w:p>
    <w:p w:rsidR="00542819" w:rsidP="002469C0" w:rsidRDefault="00542819" w14:paraId="19CD42A0" w14:textId="54363C05">
      <w:pPr>
        <w:numPr>
          <w:ilvl w:val="0"/>
          <w:numId w:val="17"/>
        </w:numPr>
        <w:tabs>
          <w:tab w:val="left" w:pos="700"/>
        </w:tabs>
        <w:spacing w:line="0" w:lineRule="atLeast"/>
        <w:jc w:val="both"/>
        <w:rPr>
          <w:sz w:val="21"/>
        </w:rPr>
      </w:pPr>
      <w:r>
        <w:rPr>
          <w:sz w:val="21"/>
        </w:rPr>
        <w:t>Provide support considering possible progression paths, personalising options.</w:t>
      </w:r>
    </w:p>
    <w:p w:rsidR="00542819" w:rsidP="002469C0" w:rsidRDefault="00220BA9" w14:paraId="7318CFD7" w14:textId="69B536A4">
      <w:pPr>
        <w:numPr>
          <w:ilvl w:val="0"/>
          <w:numId w:val="17"/>
        </w:numPr>
        <w:tabs>
          <w:tab w:val="left" w:pos="700"/>
        </w:tabs>
        <w:spacing w:line="0" w:lineRule="atLeast"/>
        <w:jc w:val="both"/>
        <w:rPr>
          <w:sz w:val="21"/>
        </w:rPr>
      </w:pPr>
      <w:r>
        <w:rPr>
          <w:sz w:val="21"/>
        </w:rPr>
        <w:t>Ensure t</w:t>
      </w:r>
      <w:r w:rsidR="00542819">
        <w:rPr>
          <w:sz w:val="21"/>
        </w:rPr>
        <w:t>he College adheres to the</w:t>
      </w:r>
      <w:r w:rsidR="00303B0E">
        <w:rPr>
          <w:sz w:val="21"/>
        </w:rPr>
        <w:t xml:space="preserve"> </w:t>
      </w:r>
      <w:r w:rsidRPr="00654926" w:rsidR="00303B0E">
        <w:rPr>
          <w:rFonts w:cs="Calibri"/>
        </w:rPr>
        <w:t>Consumer Protection from Unfair Trading Regulations 2008</w:t>
      </w:r>
    </w:p>
    <w:p w:rsidR="002469C0" w:rsidP="002469C0" w:rsidRDefault="002469C0" w14:paraId="2F9E7906" w14:textId="77777777">
      <w:pPr>
        <w:numPr>
          <w:ilvl w:val="0"/>
          <w:numId w:val="17"/>
        </w:numPr>
        <w:jc w:val="both"/>
        <w:rPr>
          <w:rFonts w:eastAsia="Times New Roman" w:cs="Calibri"/>
        </w:rPr>
      </w:pPr>
      <w:r w:rsidRPr="002469C0">
        <w:rPr>
          <w:rFonts w:eastAsia="Times New Roman" w:cs="Calibri"/>
        </w:rPr>
        <w:t xml:space="preserve">Oversight of </w:t>
      </w:r>
      <w:r>
        <w:rPr>
          <w:rFonts w:eastAsia="Times New Roman" w:cs="Calibri"/>
        </w:rPr>
        <w:t>any</w:t>
      </w:r>
      <w:r w:rsidRPr="002469C0">
        <w:rPr>
          <w:rFonts w:eastAsia="Times New Roman" w:cs="Calibri"/>
        </w:rPr>
        <w:t xml:space="preserve"> induction process</w:t>
      </w:r>
      <w:r>
        <w:rPr>
          <w:rFonts w:eastAsia="Times New Roman" w:cs="Calibri"/>
        </w:rPr>
        <w:t>es</w:t>
      </w:r>
      <w:r w:rsidRPr="002469C0">
        <w:rPr>
          <w:rFonts w:eastAsia="Times New Roman" w:cs="Calibri"/>
        </w:rPr>
        <w:t xml:space="preserve"> is the responsibility of the Quality Team. Presentation materials are authorised by the Associate Director for Quality and Partnerships. </w:t>
      </w:r>
    </w:p>
    <w:p w:rsidR="002469C0" w:rsidP="002469C0" w:rsidRDefault="002469C0" w14:paraId="0F35FC6B" w14:textId="78982F66">
      <w:pPr>
        <w:numPr>
          <w:ilvl w:val="0"/>
          <w:numId w:val="17"/>
        </w:numPr>
        <w:jc w:val="both"/>
        <w:rPr>
          <w:rFonts w:eastAsia="Times New Roman" w:cs="Calibri"/>
        </w:rPr>
      </w:pPr>
      <w:r w:rsidRPr="002469C0">
        <w:rPr>
          <w:rFonts w:eastAsia="Times New Roman" w:cs="Calibri"/>
        </w:rPr>
        <w:t xml:space="preserve">Delivery </w:t>
      </w:r>
      <w:r>
        <w:rPr>
          <w:rFonts w:eastAsia="Times New Roman" w:cs="Calibri"/>
        </w:rPr>
        <w:t>of any</w:t>
      </w:r>
      <w:r w:rsidRPr="002469C0">
        <w:rPr>
          <w:rFonts w:eastAsia="Times New Roman" w:cs="Calibri"/>
        </w:rPr>
        <w:t xml:space="preserve"> induction will be subject to the terms of the</w:t>
      </w:r>
      <w:r w:rsidR="00220BA9">
        <w:rPr>
          <w:rFonts w:eastAsia="Times New Roman" w:cs="Calibri"/>
        </w:rPr>
        <w:t xml:space="preserve"> Student Induction Policy and</w:t>
      </w:r>
      <w:r w:rsidRPr="002469C0">
        <w:rPr>
          <w:rFonts w:eastAsia="Times New Roman" w:cs="Calibri"/>
        </w:rPr>
        <w:t xml:space="preserve"> Quality Assurance</w:t>
      </w:r>
      <w:r w:rsidR="00220BA9">
        <w:rPr>
          <w:rFonts w:eastAsia="Times New Roman" w:cs="Calibri"/>
        </w:rPr>
        <w:t xml:space="preserve"> and Delivery</w:t>
      </w:r>
      <w:r w:rsidRPr="002469C0">
        <w:rPr>
          <w:rFonts w:eastAsia="Times New Roman" w:cs="Calibri"/>
        </w:rPr>
        <w:t xml:space="preserve"> Policy</w:t>
      </w:r>
      <w:r w:rsidR="00220BA9">
        <w:rPr>
          <w:rFonts w:eastAsia="Times New Roman" w:cs="Calibri"/>
        </w:rPr>
        <w:t>. S</w:t>
      </w:r>
      <w:r w:rsidRPr="002469C0">
        <w:rPr>
          <w:rFonts w:eastAsia="Times New Roman" w:cs="Calibri"/>
        </w:rPr>
        <w:t xml:space="preserve">taff may be observed in the interest of maintain quality standards and improvement. </w:t>
      </w:r>
    </w:p>
    <w:p w:rsidRPr="002469C0" w:rsidR="002469C0" w:rsidP="002469C0" w:rsidRDefault="002469C0" w14:paraId="37F0D45C" w14:textId="601B37BB">
      <w:pPr>
        <w:numPr>
          <w:ilvl w:val="0"/>
          <w:numId w:val="17"/>
        </w:numPr>
        <w:jc w:val="both"/>
        <w:rPr>
          <w:rFonts w:eastAsia="Times New Roman" w:cs="Calibri"/>
        </w:rPr>
      </w:pPr>
      <w:r w:rsidRPr="002469C0">
        <w:rPr>
          <w:rFonts w:eastAsia="Times New Roman" w:cs="Calibri"/>
        </w:rPr>
        <w:t xml:space="preserve">Partnership originations may be involved in the induction process, dependent on their availability, either to deliver and support activities with students or to observe the quality of service. </w:t>
      </w:r>
    </w:p>
    <w:p w:rsidRPr="00C5450B" w:rsidR="002469C0" w:rsidP="002469C0" w:rsidRDefault="002469C0" w14:paraId="32426386" w14:textId="313DCF00">
      <w:pPr>
        <w:numPr>
          <w:ilvl w:val="0"/>
          <w:numId w:val="17"/>
        </w:numPr>
        <w:tabs>
          <w:tab w:val="left" w:pos="700"/>
        </w:tabs>
        <w:spacing w:line="0" w:lineRule="atLeast"/>
        <w:jc w:val="both"/>
        <w:rPr>
          <w:sz w:val="21"/>
        </w:rPr>
      </w:pPr>
      <w:r w:rsidRPr="002469C0">
        <w:t>Overall responsibility for compliance with</w:t>
      </w:r>
      <w:r w:rsidR="00220BA9">
        <w:t xml:space="preserve"> all</w:t>
      </w:r>
      <w:r w:rsidRPr="002469C0">
        <w:t xml:space="preserve"> consumer legislation is the responsibility of the Director of Operations</w:t>
      </w:r>
    </w:p>
    <w:p w:rsidRPr="00CF3A18" w:rsidR="00C5450B" w:rsidP="00C5450B" w:rsidRDefault="00C5450B" w14:paraId="2B3B10BD" w14:textId="77777777">
      <w:pPr>
        <w:tabs>
          <w:tab w:val="left" w:pos="700"/>
        </w:tabs>
        <w:spacing w:line="0" w:lineRule="atLeast"/>
        <w:jc w:val="both"/>
        <w:rPr>
          <w:sz w:val="21"/>
        </w:rPr>
      </w:pPr>
    </w:p>
    <w:p w:rsidR="00747A53" w:rsidP="002469C0" w:rsidRDefault="00747A53" w14:paraId="035A87DB" w14:textId="77777777">
      <w:pPr>
        <w:pStyle w:val="paragraph"/>
        <w:spacing w:before="0" w:beforeAutospacing="0" w:after="0" w:afterAutospacing="0"/>
        <w:ind w:right="150"/>
        <w:jc w:val="both"/>
        <w:textAlignment w:val="baseline"/>
        <w:rPr>
          <w:rStyle w:val="eop"/>
          <w:rFonts w:ascii="Calibri" w:hAnsi="Calibri" w:cs="Calibri"/>
          <w:color w:val="000000"/>
          <w:sz w:val="22"/>
          <w:szCs w:val="22"/>
        </w:rPr>
      </w:pPr>
      <w:r w:rsidRPr="008603A2">
        <w:rPr>
          <w:rStyle w:val="normaltextrun"/>
          <w:rFonts w:ascii="Calibri" w:hAnsi="Calibri" w:cs="Calibri"/>
          <w:b/>
          <w:bCs/>
          <w:color w:val="000000"/>
          <w:sz w:val="22"/>
          <w:szCs w:val="22"/>
        </w:rPr>
        <w:t>Related policies</w:t>
      </w:r>
      <w:r w:rsidRPr="008603A2">
        <w:rPr>
          <w:rStyle w:val="normaltextrun"/>
          <w:rFonts w:ascii="Calibri" w:hAnsi="Calibri" w:cs="Calibri"/>
          <w:color w:val="000000"/>
          <w:sz w:val="22"/>
          <w:szCs w:val="22"/>
        </w:rPr>
        <w:t> </w:t>
      </w:r>
      <w:r w:rsidRPr="008603A2">
        <w:rPr>
          <w:rStyle w:val="eop"/>
          <w:rFonts w:ascii="Calibri" w:hAnsi="Calibri" w:cs="Calibri"/>
          <w:color w:val="000000"/>
          <w:sz w:val="22"/>
          <w:szCs w:val="22"/>
        </w:rPr>
        <w:t> </w:t>
      </w:r>
    </w:p>
    <w:p w:rsidRPr="008603A2" w:rsidR="00747A53" w:rsidP="002469C0" w:rsidRDefault="00747A53" w14:paraId="431A908F" w14:textId="77777777">
      <w:pPr>
        <w:pStyle w:val="paragraph"/>
        <w:spacing w:before="0" w:beforeAutospacing="0" w:after="0" w:afterAutospacing="0"/>
        <w:ind w:right="150"/>
        <w:jc w:val="both"/>
        <w:textAlignment w:val="baseline"/>
        <w:rPr>
          <w:rFonts w:ascii="Calibri" w:hAnsi="Calibri" w:cs="Calibri"/>
          <w:color w:val="000000"/>
          <w:sz w:val="22"/>
          <w:szCs w:val="22"/>
        </w:rPr>
      </w:pPr>
    </w:p>
    <w:p w:rsidRPr="008603A2" w:rsidR="00747A53" w:rsidP="002469C0" w:rsidRDefault="00747A53" w14:paraId="6D289A09" w14:textId="77777777">
      <w:pPr>
        <w:pStyle w:val="paragraph"/>
        <w:spacing w:before="0" w:beforeAutospacing="0" w:after="0" w:afterAutospacing="0"/>
        <w:ind w:right="150"/>
        <w:jc w:val="both"/>
        <w:textAlignment w:val="baseline"/>
        <w:rPr>
          <w:rStyle w:val="eop"/>
          <w:rFonts w:ascii="Calibri" w:hAnsi="Calibri" w:cs="Calibri"/>
          <w:color w:val="000000"/>
          <w:sz w:val="22"/>
          <w:szCs w:val="22"/>
        </w:rPr>
      </w:pPr>
      <w:r w:rsidRPr="008603A2">
        <w:rPr>
          <w:rStyle w:val="normaltextrun"/>
          <w:rFonts w:ascii="Calibri" w:hAnsi="Calibri" w:cs="Calibri"/>
          <w:color w:val="000000"/>
          <w:sz w:val="22"/>
          <w:szCs w:val="22"/>
        </w:rPr>
        <w:t>This policy needs to be read in conjunction with other policies including:</w:t>
      </w:r>
      <w:r w:rsidRPr="008603A2">
        <w:rPr>
          <w:rStyle w:val="eop"/>
          <w:rFonts w:ascii="Calibri" w:hAnsi="Calibri" w:cs="Calibri"/>
          <w:color w:val="000000"/>
          <w:sz w:val="22"/>
          <w:szCs w:val="22"/>
        </w:rPr>
        <w:t> </w:t>
      </w:r>
    </w:p>
    <w:p w:rsidRPr="008603A2" w:rsidR="00747A53" w:rsidP="00CF3A18" w:rsidRDefault="00747A53" w14:paraId="28A3BDAF" w14:textId="7167DAEB">
      <w:pPr>
        <w:pStyle w:val="paragraph"/>
        <w:spacing w:before="0" w:beforeAutospacing="0" w:after="0" w:afterAutospacing="0"/>
        <w:jc w:val="both"/>
        <w:textAlignment w:val="baseline"/>
        <w:rPr>
          <w:rFonts w:ascii="Calibri" w:hAnsi="Calibri" w:cs="Calibri"/>
          <w:color w:val="000000"/>
          <w:sz w:val="22"/>
          <w:szCs w:val="22"/>
        </w:rPr>
      </w:pPr>
    </w:p>
    <w:p w:rsidRPr="008603A2" w:rsidR="00747A53" w:rsidP="002469C0" w:rsidRDefault="00747A53" w14:paraId="2CB0AA35" w14:textId="4BA93CE4">
      <w:pPr>
        <w:pStyle w:val="paragraph"/>
        <w:numPr>
          <w:ilvl w:val="0"/>
          <w:numId w:val="16"/>
        </w:numPr>
        <w:spacing w:before="0" w:beforeAutospacing="0" w:after="0" w:afterAutospacing="0"/>
        <w:ind w:left="360" w:firstLine="0"/>
        <w:jc w:val="both"/>
        <w:textAlignment w:val="baseline"/>
        <w:rPr>
          <w:rFonts w:ascii="Calibri" w:hAnsi="Calibri" w:cs="Calibri"/>
          <w:color w:val="000000"/>
          <w:sz w:val="22"/>
          <w:szCs w:val="22"/>
        </w:rPr>
      </w:pPr>
      <w:r w:rsidRPr="008603A2">
        <w:rPr>
          <w:rStyle w:val="normaltextrun"/>
          <w:rFonts w:ascii="Calibri" w:hAnsi="Calibri" w:cs="Calibri"/>
          <w:color w:val="000000"/>
          <w:sz w:val="22"/>
          <w:szCs w:val="22"/>
        </w:rPr>
        <w:t xml:space="preserve">Equality </w:t>
      </w:r>
      <w:r w:rsidR="00220BA9">
        <w:rPr>
          <w:rStyle w:val="normaltextrun"/>
          <w:rFonts w:ascii="Calibri" w:hAnsi="Calibri" w:cs="Calibri"/>
          <w:color w:val="000000"/>
          <w:sz w:val="22"/>
          <w:szCs w:val="22"/>
        </w:rPr>
        <w:t xml:space="preserve">and Diversity </w:t>
      </w:r>
      <w:r w:rsidRPr="008603A2">
        <w:rPr>
          <w:rStyle w:val="normaltextrun"/>
          <w:rFonts w:ascii="Calibri" w:hAnsi="Calibri" w:cs="Calibri"/>
          <w:color w:val="000000"/>
          <w:sz w:val="22"/>
          <w:szCs w:val="22"/>
        </w:rPr>
        <w:t>Policy</w:t>
      </w:r>
      <w:r w:rsidRPr="008603A2">
        <w:rPr>
          <w:rStyle w:val="eop"/>
          <w:rFonts w:ascii="Calibri" w:hAnsi="Calibri" w:cs="Calibri"/>
          <w:color w:val="000000"/>
          <w:sz w:val="22"/>
          <w:szCs w:val="22"/>
        </w:rPr>
        <w:t> </w:t>
      </w:r>
    </w:p>
    <w:p w:rsidR="00747A53" w:rsidP="002469C0" w:rsidRDefault="00747A53" w14:paraId="107E7F9C" w14:textId="587EB47A">
      <w:pPr>
        <w:pStyle w:val="paragraph"/>
        <w:numPr>
          <w:ilvl w:val="0"/>
          <w:numId w:val="16"/>
        </w:numPr>
        <w:spacing w:before="0" w:beforeAutospacing="0" w:after="0" w:afterAutospacing="0"/>
        <w:ind w:left="360" w:firstLine="0"/>
        <w:jc w:val="both"/>
        <w:textAlignment w:val="baseline"/>
        <w:rPr>
          <w:rStyle w:val="eop"/>
          <w:rFonts w:ascii="Calibri" w:hAnsi="Calibri" w:cs="Calibri"/>
          <w:color w:val="000000"/>
          <w:sz w:val="22"/>
          <w:szCs w:val="22"/>
        </w:rPr>
      </w:pPr>
      <w:r w:rsidRPr="008603A2">
        <w:rPr>
          <w:rStyle w:val="normaltextrun"/>
          <w:rFonts w:ascii="Calibri" w:hAnsi="Calibri" w:cs="Calibri"/>
          <w:color w:val="000000"/>
          <w:sz w:val="22"/>
          <w:szCs w:val="22"/>
        </w:rPr>
        <w:t xml:space="preserve">Complaints </w:t>
      </w:r>
      <w:r w:rsidR="00220BA9">
        <w:rPr>
          <w:rStyle w:val="normaltextrun"/>
          <w:rFonts w:ascii="Calibri" w:hAnsi="Calibri" w:cs="Calibri"/>
          <w:color w:val="000000"/>
          <w:sz w:val="22"/>
          <w:szCs w:val="22"/>
        </w:rPr>
        <w:t xml:space="preserve">Policy and </w:t>
      </w:r>
      <w:r w:rsidRPr="008603A2">
        <w:rPr>
          <w:rStyle w:val="normaltextrun"/>
          <w:rFonts w:ascii="Calibri" w:hAnsi="Calibri" w:cs="Calibri"/>
          <w:color w:val="000000"/>
          <w:sz w:val="22"/>
          <w:szCs w:val="22"/>
        </w:rPr>
        <w:t>Procedure</w:t>
      </w:r>
      <w:r w:rsidRPr="008603A2">
        <w:rPr>
          <w:rStyle w:val="eop"/>
          <w:rFonts w:ascii="Calibri" w:hAnsi="Calibri" w:cs="Calibri"/>
          <w:color w:val="000000"/>
          <w:sz w:val="22"/>
          <w:szCs w:val="22"/>
        </w:rPr>
        <w:t> </w:t>
      </w:r>
    </w:p>
    <w:p w:rsidR="00542819" w:rsidP="002469C0" w:rsidRDefault="00542819" w14:paraId="1FDFDEA1" w14:textId="26856408">
      <w:pPr>
        <w:pStyle w:val="paragraph"/>
        <w:numPr>
          <w:ilvl w:val="0"/>
          <w:numId w:val="16"/>
        </w:numPr>
        <w:spacing w:before="0" w:beforeAutospacing="0" w:after="0" w:afterAutospacing="0"/>
        <w:ind w:left="360" w:firstLine="0"/>
        <w:jc w:val="both"/>
        <w:textAlignment w:val="baseline"/>
        <w:rPr>
          <w:rStyle w:val="eop"/>
          <w:rFonts w:ascii="Calibri" w:hAnsi="Calibri" w:cs="Calibri"/>
          <w:color w:val="000000"/>
          <w:sz w:val="22"/>
          <w:szCs w:val="22"/>
        </w:rPr>
      </w:pPr>
      <w:r>
        <w:rPr>
          <w:rStyle w:val="eop"/>
          <w:rFonts w:ascii="Calibri" w:hAnsi="Calibri" w:cs="Calibri"/>
          <w:color w:val="000000"/>
          <w:sz w:val="22"/>
          <w:szCs w:val="22"/>
        </w:rPr>
        <w:t>Health and Safety Policy</w:t>
      </w:r>
    </w:p>
    <w:p w:rsidR="00CF3A18" w:rsidP="002469C0" w:rsidRDefault="00CF3A18" w14:paraId="665B459F" w14:textId="0FDE8929">
      <w:pPr>
        <w:pStyle w:val="paragraph"/>
        <w:numPr>
          <w:ilvl w:val="0"/>
          <w:numId w:val="16"/>
        </w:numPr>
        <w:spacing w:before="0" w:beforeAutospacing="0" w:after="0" w:afterAutospacing="0"/>
        <w:ind w:left="360" w:firstLine="0"/>
        <w:jc w:val="both"/>
        <w:textAlignment w:val="baseline"/>
        <w:rPr>
          <w:rStyle w:val="eop"/>
          <w:rFonts w:ascii="Calibri" w:hAnsi="Calibri" w:cs="Calibri"/>
          <w:color w:val="000000"/>
          <w:sz w:val="22"/>
          <w:szCs w:val="22"/>
        </w:rPr>
      </w:pPr>
      <w:r>
        <w:rPr>
          <w:rStyle w:val="eop"/>
          <w:rFonts w:ascii="Calibri" w:hAnsi="Calibri" w:cs="Calibri"/>
          <w:color w:val="000000"/>
          <w:sz w:val="22"/>
          <w:szCs w:val="22"/>
        </w:rPr>
        <w:t>Student Protection Plan</w:t>
      </w:r>
    </w:p>
    <w:p w:rsidR="00220BA9" w:rsidP="002469C0" w:rsidRDefault="00220BA9" w14:paraId="67409F64" w14:textId="05A006C2">
      <w:pPr>
        <w:pStyle w:val="paragraph"/>
        <w:numPr>
          <w:ilvl w:val="0"/>
          <w:numId w:val="16"/>
        </w:numPr>
        <w:spacing w:before="0" w:beforeAutospacing="0" w:after="0" w:afterAutospacing="0"/>
        <w:ind w:left="360" w:firstLine="0"/>
        <w:jc w:val="both"/>
        <w:textAlignment w:val="baseline"/>
        <w:rPr>
          <w:rStyle w:val="eop"/>
          <w:rFonts w:ascii="Calibri" w:hAnsi="Calibri" w:cs="Calibri"/>
          <w:color w:val="000000"/>
          <w:sz w:val="22"/>
          <w:szCs w:val="22"/>
        </w:rPr>
      </w:pPr>
      <w:r>
        <w:rPr>
          <w:rStyle w:val="eop"/>
          <w:rFonts w:ascii="Calibri" w:hAnsi="Calibri" w:cs="Calibri"/>
          <w:color w:val="000000"/>
          <w:sz w:val="22"/>
          <w:szCs w:val="22"/>
        </w:rPr>
        <w:t>Governance Code</w:t>
      </w:r>
    </w:p>
    <w:p w:rsidR="00220BA9" w:rsidP="002469C0" w:rsidRDefault="00220BA9" w14:paraId="672FF320" w14:textId="1A9D86A1">
      <w:pPr>
        <w:pStyle w:val="paragraph"/>
        <w:numPr>
          <w:ilvl w:val="0"/>
          <w:numId w:val="16"/>
        </w:numPr>
        <w:spacing w:before="0" w:beforeAutospacing="0" w:after="0" w:afterAutospacing="0"/>
        <w:ind w:left="360" w:firstLine="0"/>
        <w:jc w:val="both"/>
        <w:textAlignment w:val="baseline"/>
        <w:rPr>
          <w:rStyle w:val="eop"/>
          <w:rFonts w:ascii="Calibri" w:hAnsi="Calibri" w:cs="Calibri"/>
          <w:color w:val="000000"/>
          <w:sz w:val="22"/>
          <w:szCs w:val="22"/>
        </w:rPr>
      </w:pPr>
      <w:r>
        <w:rPr>
          <w:rStyle w:val="eop"/>
          <w:rFonts w:ascii="Calibri" w:hAnsi="Calibri" w:cs="Calibri"/>
          <w:color w:val="000000"/>
          <w:sz w:val="22"/>
          <w:szCs w:val="22"/>
        </w:rPr>
        <w:lastRenderedPageBreak/>
        <w:t>Student Induction Policy</w:t>
      </w:r>
    </w:p>
    <w:p w:rsidR="00220BA9" w:rsidP="002469C0" w:rsidRDefault="00220BA9" w14:paraId="28427E4B" w14:textId="27177299">
      <w:pPr>
        <w:pStyle w:val="paragraph"/>
        <w:numPr>
          <w:ilvl w:val="0"/>
          <w:numId w:val="16"/>
        </w:numPr>
        <w:spacing w:before="0" w:beforeAutospacing="0" w:after="0" w:afterAutospacing="0"/>
        <w:ind w:left="360" w:firstLine="0"/>
        <w:jc w:val="both"/>
        <w:textAlignment w:val="baseline"/>
        <w:rPr>
          <w:rStyle w:val="eop"/>
          <w:rFonts w:ascii="Calibri" w:hAnsi="Calibri" w:cs="Calibri"/>
          <w:color w:val="000000"/>
          <w:sz w:val="22"/>
          <w:szCs w:val="22"/>
        </w:rPr>
      </w:pPr>
      <w:r>
        <w:rPr>
          <w:rStyle w:val="eop"/>
          <w:rFonts w:ascii="Calibri" w:hAnsi="Calibri" w:cs="Calibri"/>
          <w:color w:val="000000"/>
          <w:sz w:val="22"/>
          <w:szCs w:val="22"/>
        </w:rPr>
        <w:t>Refund and Compensation Policy</w:t>
      </w:r>
    </w:p>
    <w:p w:rsidR="00220BA9" w:rsidP="002469C0" w:rsidRDefault="00220BA9" w14:paraId="49941A0B" w14:textId="0180672C">
      <w:pPr>
        <w:pStyle w:val="paragraph"/>
        <w:numPr>
          <w:ilvl w:val="0"/>
          <w:numId w:val="16"/>
        </w:numPr>
        <w:spacing w:before="0" w:beforeAutospacing="0" w:after="0" w:afterAutospacing="0"/>
        <w:ind w:left="360" w:firstLine="0"/>
        <w:jc w:val="both"/>
        <w:textAlignment w:val="baseline"/>
        <w:rPr>
          <w:rStyle w:val="eop"/>
          <w:rFonts w:ascii="Calibri" w:hAnsi="Calibri" w:cs="Calibri"/>
          <w:color w:val="000000"/>
          <w:sz w:val="22"/>
          <w:szCs w:val="22"/>
        </w:rPr>
      </w:pPr>
      <w:r>
        <w:rPr>
          <w:rStyle w:val="eop"/>
          <w:rFonts w:ascii="Calibri" w:hAnsi="Calibri" w:cs="Calibri"/>
          <w:color w:val="000000"/>
          <w:sz w:val="22"/>
          <w:szCs w:val="22"/>
        </w:rPr>
        <w:t>Student Registration and Certification Policy</w:t>
      </w:r>
    </w:p>
    <w:p w:rsidRPr="008603A2" w:rsidR="00542819" w:rsidP="002469C0" w:rsidRDefault="00542819" w14:paraId="62B1ABB4" w14:textId="77777777">
      <w:pPr>
        <w:pStyle w:val="paragraph"/>
        <w:spacing w:before="0" w:beforeAutospacing="0" w:after="0" w:afterAutospacing="0"/>
        <w:ind w:left="360"/>
        <w:jc w:val="both"/>
        <w:textAlignment w:val="baseline"/>
        <w:rPr>
          <w:rFonts w:ascii="Calibri" w:hAnsi="Calibri" w:cs="Calibri"/>
          <w:color w:val="000000"/>
          <w:sz w:val="22"/>
          <w:szCs w:val="22"/>
        </w:rPr>
      </w:pPr>
    </w:p>
    <w:sectPr w:rsidRPr="008603A2" w:rsidR="0054281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246"/>
    <w:multiLevelType w:val="hybridMultilevel"/>
    <w:tmpl w:val="C69A97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8B833F0"/>
    <w:multiLevelType w:val="hybridMultilevel"/>
    <w:tmpl w:val="90F46B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A452182"/>
    <w:multiLevelType w:val="hybridMultilevel"/>
    <w:tmpl w:val="756E89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B310207"/>
    <w:multiLevelType w:val="hybridMultilevel"/>
    <w:tmpl w:val="E8F6DB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04E6F8B"/>
    <w:multiLevelType w:val="hybridMultilevel"/>
    <w:tmpl w:val="0318FB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65C2641"/>
    <w:multiLevelType w:val="hybridMultilevel"/>
    <w:tmpl w:val="514097CE"/>
    <w:lvl w:ilvl="0" w:tplc="08090001">
      <w:start w:val="1"/>
      <w:numFmt w:val="bullet"/>
      <w:lvlText w:val=""/>
      <w:lvlJc w:val="left"/>
      <w:pPr>
        <w:ind w:left="163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6" w15:restartNumberingAfterBreak="0">
    <w:nsid w:val="37C36C90"/>
    <w:multiLevelType w:val="hybridMultilevel"/>
    <w:tmpl w:val="3EAE2E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9FA6F23"/>
    <w:multiLevelType w:val="hybridMultilevel"/>
    <w:tmpl w:val="9E406D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6637603"/>
    <w:multiLevelType w:val="hybridMultilevel"/>
    <w:tmpl w:val="547810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B624478"/>
    <w:multiLevelType w:val="hybridMultilevel"/>
    <w:tmpl w:val="D5A6C2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10D1A96"/>
    <w:multiLevelType w:val="hybridMultilevel"/>
    <w:tmpl w:val="1F88F6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2A42EB3"/>
    <w:multiLevelType w:val="hybridMultilevel"/>
    <w:tmpl w:val="92AC76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46A2A48"/>
    <w:multiLevelType w:val="hybridMultilevel"/>
    <w:tmpl w:val="8F2C19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E41243D"/>
    <w:multiLevelType w:val="hybridMultilevel"/>
    <w:tmpl w:val="F48402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E9B19D7"/>
    <w:multiLevelType w:val="hybridMultilevel"/>
    <w:tmpl w:val="F2AA05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63F43B0"/>
    <w:multiLevelType w:val="multilevel"/>
    <w:tmpl w:val="EE641B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0FD72D2"/>
    <w:multiLevelType w:val="multilevel"/>
    <w:tmpl w:val="6A7465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42C7F2B"/>
    <w:multiLevelType w:val="hybridMultilevel"/>
    <w:tmpl w:val="BA806E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67422B3"/>
    <w:multiLevelType w:val="hybridMultilevel"/>
    <w:tmpl w:val="CF9412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8"/>
  </w:num>
  <w:num w:numId="2">
    <w:abstractNumId w:val="14"/>
  </w:num>
  <w:num w:numId="3">
    <w:abstractNumId w:val="4"/>
  </w:num>
  <w:num w:numId="4">
    <w:abstractNumId w:val="5"/>
  </w:num>
  <w:num w:numId="5">
    <w:abstractNumId w:val="13"/>
  </w:num>
  <w:num w:numId="6">
    <w:abstractNumId w:val="0"/>
  </w:num>
  <w:num w:numId="7">
    <w:abstractNumId w:val="6"/>
  </w:num>
  <w:num w:numId="8">
    <w:abstractNumId w:val="16"/>
  </w:num>
  <w:num w:numId="9">
    <w:abstractNumId w:val="12"/>
  </w:num>
  <w:num w:numId="10">
    <w:abstractNumId w:val="11"/>
  </w:num>
  <w:num w:numId="11">
    <w:abstractNumId w:val="10"/>
  </w:num>
  <w:num w:numId="12">
    <w:abstractNumId w:val="15"/>
  </w:num>
  <w:num w:numId="13">
    <w:abstractNumId w:val="8"/>
  </w:num>
  <w:num w:numId="14">
    <w:abstractNumId w:val="3"/>
  </w:num>
  <w:num w:numId="15">
    <w:abstractNumId w:val="2"/>
  </w:num>
  <w:num w:numId="16">
    <w:abstractNumId w:val="7"/>
  </w:num>
  <w:num w:numId="17">
    <w:abstractNumId w:val="1"/>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trackRevisions w:val="false"/>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5BDD"/>
    <w:rsid w:val="00070BB4"/>
    <w:rsid w:val="00072674"/>
    <w:rsid w:val="001134BF"/>
    <w:rsid w:val="001B62A8"/>
    <w:rsid w:val="00201885"/>
    <w:rsid w:val="00220BA9"/>
    <w:rsid w:val="002469C0"/>
    <w:rsid w:val="00254D30"/>
    <w:rsid w:val="00303B0E"/>
    <w:rsid w:val="003619D9"/>
    <w:rsid w:val="00541E51"/>
    <w:rsid w:val="00542819"/>
    <w:rsid w:val="00563214"/>
    <w:rsid w:val="005B1E8A"/>
    <w:rsid w:val="00602244"/>
    <w:rsid w:val="00666418"/>
    <w:rsid w:val="00720D9F"/>
    <w:rsid w:val="00747A53"/>
    <w:rsid w:val="007801C8"/>
    <w:rsid w:val="007F3CEC"/>
    <w:rsid w:val="008A2600"/>
    <w:rsid w:val="009052D3"/>
    <w:rsid w:val="00922C90"/>
    <w:rsid w:val="00927A06"/>
    <w:rsid w:val="00984511"/>
    <w:rsid w:val="009F6A28"/>
    <w:rsid w:val="00AD1D7F"/>
    <w:rsid w:val="00B410EF"/>
    <w:rsid w:val="00B8711B"/>
    <w:rsid w:val="00BB60F1"/>
    <w:rsid w:val="00BE0DE3"/>
    <w:rsid w:val="00C5450B"/>
    <w:rsid w:val="00C8560F"/>
    <w:rsid w:val="00CF3A18"/>
    <w:rsid w:val="00D75818"/>
    <w:rsid w:val="00E358B8"/>
    <w:rsid w:val="00EE5BDD"/>
    <w:rsid w:val="00FE529D"/>
    <w:rsid w:val="0F5F9DF1"/>
    <w:rsid w:val="58444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20B2"/>
  <w15:chartTrackingRefBased/>
  <w15:docId w15:val="{609DA0DB-120F-400A-90BB-17B1791F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rsid w:val="00541E51"/>
  </w:style>
  <w:style w:type="character" w:styleId="Hyperlink">
    <w:name w:val="Hyperlink"/>
    <w:uiPriority w:val="99"/>
    <w:unhideWhenUsed/>
    <w:rsid w:val="00541E51"/>
    <w:rPr>
      <w:color w:val="0563C1"/>
      <w:u w:val="single"/>
    </w:rPr>
  </w:style>
  <w:style w:type="character" w:styleId="UnresolvedMention">
    <w:name w:val="Unresolved Mention"/>
    <w:uiPriority w:val="99"/>
    <w:semiHidden/>
    <w:unhideWhenUsed/>
    <w:rsid w:val="00541E51"/>
    <w:rPr>
      <w:color w:val="605E5C"/>
      <w:shd w:val="clear" w:color="auto" w:fill="E1DFDD"/>
    </w:rPr>
  </w:style>
  <w:style w:type="paragraph" w:styleId="ListParagraph">
    <w:name w:val="List Paragraph"/>
    <w:aliases w:val="Dot pt,F5 List Paragraph,Colorful List - Accent 11,No Spacing1,List Paragraph Char Char Char,Indicator Text,Numbered Para 1,Bullet 1,Bullet Points,MAIN CONTENT,List Paragraph12,List Paragraph2,Normal numbered,OBC Bullet,L,List Paragraph11"/>
    <w:basedOn w:val="Normal"/>
    <w:link w:val="ListParagraphChar"/>
    <w:uiPriority w:val="34"/>
    <w:qFormat/>
    <w:rsid w:val="003619D9"/>
    <w:pPr>
      <w:ind w:left="720"/>
      <w:contextualSpacing/>
    </w:pPr>
  </w:style>
  <w:style w:type="character" w:styleId="eop" w:customStyle="1">
    <w:name w:val="eop"/>
    <w:rsid w:val="003619D9"/>
  </w:style>
  <w:style w:type="paragraph" w:styleId="paragraph" w:customStyle="1">
    <w:name w:val="paragraph"/>
    <w:basedOn w:val="Normal"/>
    <w:rsid w:val="00747A53"/>
    <w:pPr>
      <w:spacing w:before="100" w:beforeAutospacing="1" w:after="100" w:afterAutospacing="1" w:line="240" w:lineRule="auto"/>
    </w:pPr>
    <w:rPr>
      <w:rFonts w:ascii="Times New Roman" w:hAnsi="Times New Roman" w:eastAsia="Times New Roman"/>
      <w:sz w:val="24"/>
      <w:szCs w:val="24"/>
      <w:lang w:eastAsia="en-GB"/>
    </w:rPr>
  </w:style>
  <w:style w:type="character" w:styleId="ListParagraphChar" w:customStyle="1">
    <w:name w:val="List Paragraph Char"/>
    <w:aliases w:val="Dot pt Char,F5 List Paragraph Char,Colorful List - Accent 11 Char,No Spacing1 Char,List Paragraph Char Char Char Char,Indicator Text Char,Numbered Para 1 Char,Bullet 1 Char,Bullet Points Char,MAIN CONTENT Char,List Paragraph12 Char"/>
    <w:link w:val="ListParagraph"/>
    <w:uiPriority w:val="34"/>
    <w:qFormat/>
    <w:locked/>
    <w:rsid w:val="002469C0"/>
    <w:rPr>
      <w:sz w:val="22"/>
      <w:szCs w:val="22"/>
      <w:lang w:eastAsia="en-US"/>
    </w:rPr>
  </w:style>
  <w:style w:type="paragraph" w:styleId="NoSpacing">
    <w:name w:val="No Spacing"/>
    <w:uiPriority w:val="1"/>
    <w:qFormat/>
    <w:rsid w:val="00303B0E"/>
    <w:pPr>
      <w:suppressAutoHyphens/>
      <w:autoSpaceDN w:val="0"/>
      <w:ind w:left="10" w:hanging="10"/>
      <w:jc w:val="both"/>
      <w:textAlignment w:val="baseline"/>
    </w:pPr>
    <w:rPr>
      <w:rFonts w:cs="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www.asa.org.uk/codes-and-rulings/advertising-codes/non-broadcast-code.html" TargetMode="External" Id="rId9" /><Relationship Type="http://schemas.openxmlformats.org/officeDocument/2006/relationships/image" Target="/media/image2.png" Id="R31ab0c7a62784a0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F620C81A198B4FA5ECBCE7B86B55D4" ma:contentTypeVersion="6" ma:contentTypeDescription="Create a new document." ma:contentTypeScope="" ma:versionID="1a4459a72747ef22e68b8c14c4304dcb">
  <xsd:schema xmlns:xsd="http://www.w3.org/2001/XMLSchema" xmlns:xs="http://www.w3.org/2001/XMLSchema" xmlns:p="http://schemas.microsoft.com/office/2006/metadata/properties" xmlns:ns2="7c34dad3-2101-44b1-90bb-adba0711d662" xmlns:ns3="3ecf61b6-427e-4a68-a0e0-725af7e87fc8" targetNamespace="http://schemas.microsoft.com/office/2006/metadata/properties" ma:root="true" ma:fieldsID="b9648e1ba6da6ad42029cb6986f9c5b2" ns2:_="" ns3:_="">
    <xsd:import namespace="7c34dad3-2101-44b1-90bb-adba0711d662"/>
    <xsd:import namespace="3ecf61b6-427e-4a68-a0e0-725af7e87f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4dad3-2101-44b1-90bb-adba0711d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cf61b6-427e-4a68-a0e0-725af7e87f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1DD70A-E15E-4D69-B47D-2EC0266D6907}">
  <ds:schemaRefs>
    <ds:schemaRef ds:uri="http://schemas.microsoft.com/sharepoint/v3/contenttype/forms"/>
  </ds:schemaRefs>
</ds:datastoreItem>
</file>

<file path=customXml/itemProps2.xml><?xml version="1.0" encoding="utf-8"?>
<ds:datastoreItem xmlns:ds="http://schemas.openxmlformats.org/officeDocument/2006/customXml" ds:itemID="{DCE5C810-7917-4AF7-BF4D-46C17074E978}"/>
</file>

<file path=customXml/itemProps3.xml><?xml version="1.0" encoding="utf-8"?>
<ds:datastoreItem xmlns:ds="http://schemas.openxmlformats.org/officeDocument/2006/customXml" ds:itemID="{A94DB214-EE49-463D-AEAD-7270324C838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Walton-allen</dc:creator>
  <cp:keywords/>
  <dc:description/>
  <cp:lastModifiedBy>Paul Walton-Allen</cp:lastModifiedBy>
  <cp:revision>11</cp:revision>
  <dcterms:created xsi:type="dcterms:W3CDTF">2020-05-21T14:15:00Z</dcterms:created>
  <dcterms:modified xsi:type="dcterms:W3CDTF">2021-02-02T13:03:30Z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0x01010014F620C81A198B4FA5ECBCE7B86B55D4</vt:lpwstr>
  </property>
</Properties>
</file>